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E0" w:rsidRDefault="005324E0" w:rsidP="005A38D4">
      <w:pPr>
        <w:pStyle w:val="TextoDesarrollo"/>
        <w:rPr>
          <w:rFonts w:cs="Arial"/>
          <w:szCs w:val="22"/>
        </w:rPr>
      </w:pPr>
    </w:p>
    <w:p w:rsidR="00812870" w:rsidRDefault="003D292B">
      <w:pPr>
        <w:widowControl/>
        <w:jc w:val="left"/>
        <w:rPr>
          <w:rFonts w:ascii="Arial" w:hAnsi="Arial" w:cs="Arial"/>
          <w:lang w:val="es-MX"/>
        </w:rPr>
      </w:pPr>
      <w:r w:rsidRPr="00E836A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287780" cy="1287780"/>
            <wp:effectExtent l="0" t="0" r="0" b="0"/>
            <wp:wrapNone/>
            <wp:docPr id="4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6205"/>
      </w:tblGrid>
      <w:tr w:rsidR="00E836A4" w:rsidRPr="00E836A4" w:rsidTr="00071918">
        <w:trPr>
          <w:trHeight w:val="638"/>
          <w:jc w:val="right"/>
        </w:trPr>
        <w:tc>
          <w:tcPr>
            <w:tcW w:w="6205" w:type="dxa"/>
          </w:tcPr>
          <w:p w:rsidR="00812870" w:rsidRDefault="003D292B">
            <w:pPr>
              <w:widowControl/>
              <w:jc w:val="left"/>
              <w:textAlignment w:val="baseline"/>
              <w:rPr>
                <w:rFonts w:ascii="Arial" w:hAnsi="Arial" w:cs="Arial"/>
                <w:sz w:val="56"/>
                <w:szCs w:val="56"/>
                <w:lang w:val="es-MX" w:eastAsia="es-MX"/>
              </w:rPr>
            </w:pPr>
            <w:r w:rsidRPr="00E836A4">
              <w:rPr>
                <w:rFonts w:ascii="Arial" w:hAnsi="Arial" w:cs="Arial"/>
                <w:sz w:val="56"/>
                <w:szCs w:val="56"/>
                <w:lang w:val="es-MX"/>
              </w:rPr>
              <w:t>COPANT</w:t>
            </w:r>
          </w:p>
        </w:tc>
      </w:tr>
      <w:tr w:rsidR="00664F23" w:rsidRPr="00E836A4" w:rsidTr="00071918">
        <w:trPr>
          <w:trHeight w:val="311"/>
          <w:jc w:val="right"/>
        </w:trPr>
        <w:tc>
          <w:tcPr>
            <w:tcW w:w="6205" w:type="dxa"/>
          </w:tcPr>
          <w:p w:rsidR="00664F23" w:rsidRDefault="00664F23" w:rsidP="00664F23">
            <w:pPr>
              <w:widowControl/>
              <w:jc w:val="left"/>
              <w:textAlignment w:val="baseline"/>
              <w:rPr>
                <w:rFonts w:ascii="Arial" w:hAnsi="Arial" w:cs="Arial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Comisión Panamericana de Normas Técnicas</w:t>
            </w:r>
          </w:p>
        </w:tc>
      </w:tr>
      <w:tr w:rsidR="00664F23" w:rsidRPr="00E836A4" w:rsidTr="00071918">
        <w:trPr>
          <w:trHeight w:val="311"/>
          <w:jc w:val="right"/>
        </w:trPr>
        <w:tc>
          <w:tcPr>
            <w:tcW w:w="6205" w:type="dxa"/>
          </w:tcPr>
          <w:p w:rsidR="00664F23" w:rsidRDefault="00664F23" w:rsidP="00664F23">
            <w:pPr>
              <w:widowControl/>
              <w:jc w:val="left"/>
              <w:textAlignment w:val="baseline"/>
              <w:rPr>
                <w:rFonts w:ascii="Arial" w:hAnsi="Arial" w:cs="Arial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Pan American Standards Commission</w:t>
            </w:r>
          </w:p>
        </w:tc>
      </w:tr>
      <w:tr w:rsidR="00664F23" w:rsidRPr="00E836A4" w:rsidTr="00071918">
        <w:trPr>
          <w:trHeight w:val="327"/>
          <w:jc w:val="right"/>
        </w:trPr>
        <w:tc>
          <w:tcPr>
            <w:tcW w:w="6205" w:type="dxa"/>
          </w:tcPr>
          <w:p w:rsidR="00664F23" w:rsidRDefault="00664F23" w:rsidP="00664F23">
            <w:pPr>
              <w:widowControl/>
              <w:jc w:val="left"/>
              <w:textAlignment w:val="baseline"/>
              <w:rPr>
                <w:rFonts w:ascii="Arial" w:hAnsi="Arial" w:cs="Arial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Comissão Panamericana de Normas Técnicas</w:t>
            </w:r>
          </w:p>
        </w:tc>
      </w:tr>
    </w:tbl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p w:rsidR="00E836A4" w:rsidRPr="00E836A4" w:rsidRDefault="00E836A4" w:rsidP="00E836A4">
      <w:pPr>
        <w:widowControl/>
        <w:jc w:val="left"/>
        <w:rPr>
          <w:rFonts w:ascii="Arial" w:hAnsi="Arial" w:cs="Arial"/>
          <w:lang w:val="es-MX"/>
        </w:rPr>
      </w:pPr>
    </w:p>
    <w:tbl>
      <w:tblPr>
        <w:tblW w:w="0" w:type="auto"/>
        <w:tblInd w:w="3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836A4" w:rsidRPr="00E836A4" w:rsidTr="00071918">
        <w:tc>
          <w:tcPr>
            <w:tcW w:w="8644" w:type="dxa"/>
          </w:tcPr>
          <w:p w:rsidR="00812870" w:rsidRDefault="003D292B">
            <w:pPr>
              <w:widowControl/>
              <w:spacing w:before="240" w:after="240"/>
              <w:jc w:val="center"/>
              <w:rPr>
                <w:rFonts w:ascii="Arial" w:hAnsi="Arial" w:cs="Arial"/>
                <w:lang w:val="es-MX"/>
              </w:rPr>
            </w:pPr>
            <w:r w:rsidRPr="00E836A4">
              <w:rPr>
                <w:rFonts w:ascii="Arial" w:hAnsi="Arial" w:cs="Arial"/>
                <w:sz w:val="32"/>
                <w:szCs w:val="32"/>
                <w:lang w:val="es-MX"/>
              </w:rPr>
              <w:t xml:space="preserve">COPANT PROJECT </w:t>
            </w:r>
            <w:r w:rsidR="00E10153">
              <w:rPr>
                <w:rFonts w:ascii="Arial" w:hAnsi="Arial" w:cs="Arial"/>
                <w:sz w:val="32"/>
                <w:szCs w:val="32"/>
                <w:lang w:val="es-MX"/>
              </w:rPr>
              <w:t>152-032</w:t>
            </w:r>
          </w:p>
        </w:tc>
      </w:tr>
      <w:tr w:rsidR="00E836A4" w:rsidRPr="00E836A4" w:rsidTr="00071918">
        <w:tc>
          <w:tcPr>
            <w:tcW w:w="8644" w:type="dxa"/>
          </w:tcPr>
          <w:p w:rsidR="00812870" w:rsidRDefault="003D292B">
            <w:pPr>
              <w:widowControl/>
              <w:spacing w:before="240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 xml:space="preserve">DISTRIBUTION TRANSFORMERS </w:t>
            </w:r>
          </w:p>
          <w:p w:rsidR="00812870" w:rsidRDefault="003D292B">
            <w:pPr>
              <w:widowControl/>
              <w:spacing w:before="240"/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>
              <w:rPr>
                <w:rFonts w:ascii="Arial" w:hAnsi="Arial" w:cs="Arial"/>
                <w:sz w:val="32"/>
                <w:szCs w:val="32"/>
                <w:lang w:val="es-MX"/>
              </w:rPr>
              <w:t>ENERGY EFFICIENCY</w:t>
            </w:r>
          </w:p>
        </w:tc>
      </w:tr>
    </w:tbl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812870" w:rsidRDefault="003D292B">
      <w:pPr>
        <w:pStyle w:val="TextoDesarrollo"/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24765</wp:posOffset>
                </wp:positionV>
                <wp:extent cx="5048250" cy="539750"/>
                <wp:effectExtent l="6350" t="9525" r="12700" b="1270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870" w:rsidRDefault="003D292B">
                            <w:pPr>
                              <w:rPr>
                                <w:color w:val="0070C0"/>
                                <w:sz w:val="36"/>
                                <w:szCs w:val="36"/>
                                <w:lang w:val="es-AR"/>
                              </w:rPr>
                            </w:pPr>
                            <w:r w:rsidRPr="008E7D4F">
                              <w:rPr>
                                <w:color w:val="0070C0"/>
                                <w:sz w:val="36"/>
                                <w:szCs w:val="36"/>
                                <w:lang w:val="es-AR"/>
                              </w:rPr>
                              <w:t xml:space="preserve">Proposal from Argentina- </w:t>
                            </w:r>
                            <w:r w:rsidR="009948E2">
                              <w:rPr>
                                <w:color w:val="0070C0"/>
                                <w:sz w:val="36"/>
                                <w:szCs w:val="36"/>
                                <w:lang w:val="es-AR"/>
                              </w:rPr>
                              <w:t>Rev 27.09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  <w:lang w:val="es-AR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style="position:absolute;left:0;text-align:left;margin-left:47.25pt;margin-top:1.95pt;width:397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">
                <v:textbox>
                  <w:txbxContent>
                    <w:p>
                      <w:pPr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</w:pPr>
                      <w:r w:rsidRPr="008E7D4F"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  <w:t xml:space="preserve">Proposal from Argentina- </w:t>
                      </w:r>
                      <w:r w:rsidR="009948E2"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  <w:t xml:space="preserve">Rev </w:t>
                      </w:r>
                      <w:r w:rsidR="009948E2"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  <w:t xml:space="preserve">27.</w:t>
                      </w:r>
                      <w:r w:rsidR="009948E2"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  <w:t xml:space="preserve">09</w:t>
                      </w:r>
                      <w:r>
                        <w:rPr>
                          <w:color w:val="0070C0"/>
                          <w:sz w:val="36"/>
                          <w:szCs w:val="36"/>
                          <w:lang w:val="es-AR"/>
                        </w:rPr>
                        <w:t xml:space="preserve">.2022</w:t>
                      </w:r>
                    </w:p>
                  </w:txbxContent>
                </v:textbox>
              </v:shape>
            </w:pict>
          </mc:Fallback>
        </mc:AlternateContent>
      </w: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0821DE" w:rsidRDefault="000821DE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E836A4" w:rsidRDefault="00E836A4" w:rsidP="005A38D4">
      <w:pPr>
        <w:pStyle w:val="TextoDesarrollo"/>
        <w:rPr>
          <w:rFonts w:cs="Arial"/>
          <w:szCs w:val="22"/>
        </w:rPr>
      </w:pPr>
    </w:p>
    <w:p w:rsidR="00812870" w:rsidRPr="00664F23" w:rsidRDefault="00542A18">
      <w:pPr>
        <w:widowControl/>
        <w:spacing w:after="160"/>
        <w:ind w:right="-994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664F23">
        <w:rPr>
          <w:rFonts w:ascii="Arial" w:eastAsia="Calibri" w:hAnsi="Arial" w:cs="Arial"/>
          <w:b/>
          <w:sz w:val="28"/>
          <w:szCs w:val="28"/>
          <w:lang w:val="en-US" w:eastAsia="en-US"/>
        </w:rPr>
        <w:lastRenderedPageBreak/>
        <w:t xml:space="preserve">DISTRIBUTION </w:t>
      </w:r>
      <w:r w:rsidR="003D292B" w:rsidRPr="00664F23">
        <w:rPr>
          <w:rFonts w:ascii="Arial" w:eastAsia="Calibri" w:hAnsi="Arial" w:cs="Arial"/>
          <w:b/>
          <w:sz w:val="28"/>
          <w:szCs w:val="28"/>
          <w:lang w:val="en-US" w:eastAsia="en-US"/>
        </w:rPr>
        <w:t xml:space="preserve">TRANSFORMERS </w:t>
      </w:r>
    </w:p>
    <w:p w:rsidR="00812870" w:rsidRPr="00664F23" w:rsidRDefault="003D292B">
      <w:pPr>
        <w:widowControl/>
        <w:spacing w:after="160"/>
        <w:ind w:right="-994"/>
        <w:rPr>
          <w:rFonts w:ascii="Arial" w:eastAsia="Calibri" w:hAnsi="Arial" w:cs="Arial"/>
          <w:b/>
          <w:sz w:val="28"/>
          <w:szCs w:val="28"/>
          <w:lang w:val="en-US" w:eastAsia="en-US"/>
        </w:rPr>
      </w:pPr>
      <w:r w:rsidRPr="00664F23">
        <w:rPr>
          <w:rFonts w:ascii="Arial" w:eastAsia="Calibri" w:hAnsi="Arial" w:cs="Arial"/>
          <w:b/>
          <w:sz w:val="28"/>
          <w:szCs w:val="28"/>
          <w:lang w:val="en-US" w:eastAsia="en-US"/>
        </w:rPr>
        <w:t>Energy efficiency</w:t>
      </w:r>
    </w:p>
    <w:p w:rsidR="00AA3B59" w:rsidRPr="00664F23" w:rsidRDefault="00AA3B59" w:rsidP="005A38D4">
      <w:pPr>
        <w:widowControl/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cyan"/>
          <w:lang w:val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1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Scope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trike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This 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COPANT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standard is applied </w:t>
      </w:r>
      <w:r w:rsidR="00A9562F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 define the energy efficiency level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 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liquid-immersed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transformers 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>covered by IEC 60076-1, with an apparent power up to 2500 kVA, a maximum equipment voltage (</w:t>
      </w:r>
      <w:r w:rsidR="00F071D5"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>U</w:t>
      </w:r>
      <w:r w:rsidR="00F071D5"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m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>) up to 36 kV and an ONAN cooling system.</w:t>
      </w:r>
      <w:r w:rsidR="00F071D5" w:rsidRPr="00664F23">
        <w:rPr>
          <w:rFonts w:ascii="Arial" w:eastAsia="Calibri" w:hAnsi="Arial" w:cs="Arial"/>
          <w:strike/>
          <w:sz w:val="22"/>
          <w:szCs w:val="22"/>
          <w:lang w:val="en-US" w:eastAsia="en-US"/>
        </w:rPr>
        <w:t xml:space="preserve">    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energy efficiency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levels </w:t>
      </w:r>
      <w:r w:rsidR="005A08C0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Chapter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6 do not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apply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 the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following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transformers: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for high current rectifiers as described </w:t>
      </w:r>
      <w:r w:rsidR="008A2F1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IEC 61378 (all parts) and IEC 60146 (all parts);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for furnace </w:t>
      </w:r>
      <w:r w:rsidR="00702E43" w:rsidRPr="00664F23">
        <w:rPr>
          <w:rFonts w:ascii="Arial" w:eastAsia="Calibri" w:hAnsi="Arial" w:cs="Arial"/>
          <w:sz w:val="22"/>
          <w:szCs w:val="22"/>
          <w:lang w:val="en-US" w:eastAsia="en-US"/>
        </w:rPr>
        <w:t>applications;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for </w:t>
      </w:r>
      <w:r w:rsidR="00702E4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offshore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applications</w:t>
      </w:r>
      <w:r w:rsidR="00723372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71592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including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transformers to be installed on fixed or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floating offshore platforms, offshore wind turbines or on board ships and all types of vessels.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transformers for emergency or temporary mobile installations; </w:t>
      </w:r>
      <w:r w:rsidR="00723372" w:rsidRPr="00664F23">
        <w:rPr>
          <w:rFonts w:ascii="Arial" w:eastAsia="Calibri" w:hAnsi="Arial" w:cs="Arial"/>
          <w:sz w:val="22"/>
          <w:szCs w:val="22"/>
          <w:lang w:val="en-US" w:eastAsia="en-US"/>
        </w:rPr>
        <w:t>includes</w:t>
      </w:r>
      <w:r w:rsidR="00664FB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: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transformers designed </w:t>
      </w:r>
      <w:r w:rsidR="00573E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only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 </w:t>
      </w:r>
      <w:r w:rsidR="00573E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provide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coverage for a specific time-limited situation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when the normal power supply is interrupted due to an unplanned occurrence, such as a failure </w:t>
      </w:r>
      <w:bookmarkStart w:id="0" w:name="_GoBack"/>
      <w:bookmarkEnd w:id="0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or station renovation, but not to permanently upgrade an existing substation.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traction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transformers;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grounding transformers as described in 3.1.10 </w:t>
      </w:r>
      <w:r w:rsidR="00573E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IEC 6007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6-6:</w:t>
      </w:r>
      <w:r w:rsidR="00B707C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2007 </w:t>
      </w:r>
    </w:p>
    <w:p w:rsidR="00812870" w:rsidRPr="00664F23" w:rsidRDefault="00F23F05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- phase shifting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transformers;</w:t>
      </w:r>
    </w:p>
    <w:p w:rsidR="00812870" w:rsidRPr="00664F23" w:rsidRDefault="00F23F05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measuring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 (IEC 61869-1);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and autotransformers specifically designed for railway power systems</w:t>
      </w:r>
      <w:r w:rsidR="00F071D5"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812870" w:rsidRPr="00664F23" w:rsidRDefault="00B707CD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power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transformers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traction catenaries for 16.67 Hz;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for high current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rectifiers (IEC 61869-1);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proofErr w:type="gramStart"/>
      <w:r w:rsidR="00723372" w:rsidRPr="00664F23">
        <w:rPr>
          <w:rFonts w:ascii="Arial" w:eastAsia="Calibri" w:hAnsi="Arial" w:cs="Arial"/>
          <w:sz w:val="18"/>
          <w:szCs w:val="18"/>
          <w:lang w:val="en-US" w:eastAsia="en-US"/>
        </w:rPr>
        <w:t>1</w:t>
      </w:r>
      <w:proofErr w:type="gramEnd"/>
      <w:r w:rsidR="00723372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These are transformers specifically designed and intended to supply </w:t>
      </w:r>
      <w:r w:rsidR="00C37524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power to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electronic loads or rectifiers</w:t>
      </w:r>
      <w:r w:rsidR="00C37524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, specified </w:t>
      </w:r>
      <w:r w:rsidR="00723372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according to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IEC 61378-1.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r w:rsidR="00723372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2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This exclusion does not apply to transformers intended to </w:t>
      </w:r>
      <w:r w:rsidR="00DE0385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deliver </w:t>
      </w:r>
      <w:r w:rsidR="00C37524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alternating current </w:t>
      </w:r>
      <w:r w:rsidR="0044617A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(ac)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power </w:t>
      </w:r>
      <w:r w:rsidR="00C37524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from direct current </w:t>
      </w:r>
      <w:r w:rsidR="0044617A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(dc)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sources, such as transformers for wind turbines and photovoltaic applications, as well as transformers designed for </w:t>
      </w:r>
      <w:r w:rsidR="00C37524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direct current </w:t>
      </w:r>
      <w:r w:rsidR="0044617A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(dc)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transmission and distribution applications.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trike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for r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ailway power supply systems; </w:t>
      </w:r>
    </w:p>
    <w:p w:rsidR="00812870" w:rsidRPr="00664F23" w:rsidRDefault="00DE0385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underwater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(submersible)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starting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DE038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testing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and welding transformers;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starting transformers, specifically designed to start three-phase induction motors in order to eliminate voltage drops in </w:t>
      </w:r>
      <w:r w:rsidR="00DE038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power supply;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proofErr w:type="gramStart"/>
      <w:r w:rsidR="00313887" w:rsidRPr="00664F23">
        <w:rPr>
          <w:rFonts w:ascii="Arial" w:eastAsia="Calibri" w:hAnsi="Arial" w:cs="Arial"/>
          <w:sz w:val="18"/>
          <w:szCs w:val="18"/>
          <w:lang w:val="en-US" w:eastAsia="en-US"/>
        </w:rPr>
        <w:t>3</w:t>
      </w:r>
      <w:proofErr w:type="gramEnd"/>
      <w:r w:rsidR="00313887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Examples are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transformers that are deactivated during normal operation, used for the purpose of starting a rotating machine.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specifically designed for subway mining and </w:t>
      </w:r>
      <w:r w:rsidR="00DE038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explosion-proof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applications;</w:t>
      </w:r>
    </w:p>
    <w:p w:rsidR="00812870" w:rsidRPr="00664F23" w:rsidRDefault="003D292B">
      <w:pPr>
        <w:widowControl/>
        <w:spacing w:after="160"/>
        <w:ind w:left="142" w:right="139" w:hanging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that c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annot meet </w:t>
      </w:r>
      <w:r w:rsidR="00303B0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energy efficiency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requirements due to unavoidable size and weight limitations.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934867" w:rsidRPr="00664F23">
        <w:rPr>
          <w:rFonts w:ascii="Arial" w:eastAsia="Calibri" w:hAnsi="Arial" w:cs="Arial"/>
          <w:sz w:val="22"/>
          <w:szCs w:val="22"/>
          <w:lang w:val="en-US" w:eastAsia="en-US"/>
        </w:rPr>
        <w:t>this standard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24766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term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"transformers" </w:t>
      </w:r>
      <w:r w:rsidR="00247661" w:rsidRPr="00664F23">
        <w:rPr>
          <w:rFonts w:ascii="Arial" w:eastAsia="Calibri" w:hAnsi="Arial" w:cs="Arial"/>
          <w:sz w:val="22"/>
          <w:szCs w:val="22"/>
          <w:lang w:val="en-US" w:eastAsia="en-US"/>
        </w:rPr>
        <w:t>includes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both separately </w:t>
      </w:r>
      <w:r w:rsidR="0024766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wound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transformers and autotransformers.</w:t>
      </w:r>
    </w:p>
    <w:p w:rsidR="00812870" w:rsidRPr="00664F23" w:rsidRDefault="001C36AD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Transformers intended to </w:t>
      </w:r>
      <w:r w:rsidR="00394B2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deliver alternating current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(ac)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power </w:t>
      </w:r>
      <w:r w:rsidR="00394B2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from direct current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(dc)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sources, such as transformers for wind turbines and photovoltaic applications, as well as transformers designed for </w:t>
      </w:r>
      <w:r w:rsidR="00394B2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direct current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(dc)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transmission and distribution applications,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are included in the scope of this standard. </w:t>
      </w:r>
    </w:p>
    <w:p w:rsidR="005A38D4" w:rsidRPr="00664F23" w:rsidRDefault="005A38D4" w:rsidP="005A38D4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2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Normative references</w:t>
      </w:r>
    </w:p>
    <w:p w:rsidR="00812870" w:rsidRPr="00664F23" w:rsidRDefault="003D292B">
      <w:pPr>
        <w:rPr>
          <w:rFonts w:ascii="Arial" w:hAnsi="Arial" w:cs="Arial"/>
          <w:sz w:val="22"/>
          <w:szCs w:val="22"/>
          <w:lang w:val="en-US" w:eastAsia="es-AR"/>
        </w:rPr>
      </w:pPr>
      <w:r w:rsidRPr="00664F23">
        <w:rPr>
          <w:rFonts w:ascii="Arial" w:hAnsi="Arial" w:cs="Arial"/>
          <w:sz w:val="22"/>
          <w:szCs w:val="22"/>
          <w:lang w:val="en-US" w:eastAsia="es-AR"/>
        </w:rPr>
        <w:t xml:space="preserve">All normative documents mentioned below are indispensable for the application of this document. </w:t>
      </w:r>
    </w:p>
    <w:p w:rsidR="00AF65E6" w:rsidRPr="00664F23" w:rsidRDefault="00AF65E6" w:rsidP="00AF65E6">
      <w:pPr>
        <w:rPr>
          <w:rFonts w:ascii="Arial" w:hAnsi="Arial" w:cs="Arial"/>
          <w:sz w:val="18"/>
          <w:szCs w:val="18"/>
          <w:lang w:val="en-US" w:eastAsia="es-AR"/>
        </w:rPr>
      </w:pPr>
    </w:p>
    <w:p w:rsidR="00812870" w:rsidRPr="00664F23" w:rsidRDefault="003D292B">
      <w:pPr>
        <w:rPr>
          <w:rFonts w:ascii="Arial" w:hAnsi="Arial" w:cs="Arial"/>
          <w:sz w:val="22"/>
          <w:szCs w:val="22"/>
          <w:lang w:val="en-US" w:eastAsia="es-AR"/>
        </w:rPr>
      </w:pPr>
      <w:r w:rsidRPr="00664F23">
        <w:rPr>
          <w:rFonts w:ascii="Arial" w:hAnsi="Arial" w:cs="Arial"/>
          <w:sz w:val="22"/>
          <w:szCs w:val="22"/>
          <w:lang w:val="en-US" w:eastAsia="es-AR"/>
        </w:rPr>
        <w:t xml:space="preserve">When the list mentions normative documents in which the year of publication </w:t>
      </w:r>
      <w:proofErr w:type="gramStart"/>
      <w:r w:rsidRPr="00664F23">
        <w:rPr>
          <w:rFonts w:ascii="Arial" w:hAnsi="Arial" w:cs="Arial"/>
          <w:sz w:val="22"/>
          <w:szCs w:val="22"/>
          <w:lang w:val="en-US" w:eastAsia="es-AR"/>
        </w:rPr>
        <w:t>is indicated</w:t>
      </w:r>
      <w:proofErr w:type="gramEnd"/>
      <w:r w:rsidRPr="00664F23">
        <w:rPr>
          <w:rFonts w:ascii="Arial" w:hAnsi="Arial" w:cs="Arial"/>
          <w:sz w:val="22"/>
          <w:szCs w:val="22"/>
          <w:lang w:val="en-US" w:eastAsia="es-AR"/>
        </w:rPr>
        <w:t xml:space="preserve">, it means that this edition must be applied. Otherwise, the current edition, including all amendments, </w:t>
      </w:r>
      <w:proofErr w:type="gramStart"/>
      <w:r w:rsidRPr="00664F23">
        <w:rPr>
          <w:rFonts w:ascii="Arial" w:hAnsi="Arial" w:cs="Arial"/>
          <w:sz w:val="22"/>
          <w:szCs w:val="22"/>
          <w:lang w:val="en-US" w:eastAsia="es-AR"/>
        </w:rPr>
        <w:t>must be applied</w:t>
      </w:r>
      <w:proofErr w:type="gramEnd"/>
      <w:r w:rsidRPr="00664F23">
        <w:rPr>
          <w:rFonts w:ascii="Arial" w:hAnsi="Arial" w:cs="Arial"/>
          <w:sz w:val="22"/>
          <w:szCs w:val="22"/>
          <w:lang w:val="en-US" w:eastAsia="es-AR"/>
        </w:rPr>
        <w:t>.</w:t>
      </w:r>
    </w:p>
    <w:p w:rsidR="00AF65E6" w:rsidRPr="00664F23" w:rsidRDefault="00AF65E6" w:rsidP="00AF65E6">
      <w:pPr>
        <w:rPr>
          <w:rFonts w:ascii="Arial" w:hAnsi="Arial" w:cs="Arial"/>
          <w:sz w:val="22"/>
          <w:szCs w:val="22"/>
          <w:lang w:val="en-US" w:eastAsia="es-AR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IEC 60076-1, Power transformers - Part 1: General</w:t>
      </w:r>
    </w:p>
    <w:p w:rsidR="004D30DD" w:rsidRPr="00664F23" w:rsidRDefault="004D30D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3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Terms and definitions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the purposes of this document, the </w:t>
      </w:r>
      <w:r w:rsidR="002804FC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following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terms and definitions apply.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ISO and IEC maintain terminology databases for use in </w:t>
      </w:r>
      <w:r w:rsidR="00D82A18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standardization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at the following addresses: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IEC Electropedia: available at </w:t>
      </w:r>
      <w:r w:rsidR="002804FC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http://www.electropedia.org/ 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ISO online navigation platform: available at </w:t>
      </w:r>
      <w:hyperlink r:id="rId13" w:history="1">
        <w:r w:rsidR="005A38D4" w:rsidRPr="00664F23">
          <w:rPr>
            <w:rStyle w:val="Hipervnculo"/>
            <w:rFonts w:ascii="Arial" w:eastAsia="Calibri" w:hAnsi="Arial" w:cs="Arial"/>
            <w:sz w:val="22"/>
            <w:szCs w:val="22"/>
            <w:lang w:val="en-US" w:eastAsia="en-US"/>
          </w:rPr>
          <w:t>http://www.iso.org/obp.</w:t>
        </w:r>
      </w:hyperlink>
    </w:p>
    <w:p w:rsidR="00621D89" w:rsidRPr="00664F23" w:rsidRDefault="00621D89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3.1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efficiency</w:t>
      </w:r>
      <w:proofErr w:type="gramEnd"/>
    </w:p>
    <w:p w:rsidR="00812870" w:rsidRPr="00664F23" w:rsidRDefault="001C36AD">
      <w:pPr>
        <w:widowControl/>
        <w:ind w:right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Ratio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between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output active power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input active power</w:t>
      </w:r>
      <w:r w:rsidR="00F90EED"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NOTE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: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In </w:t>
      </w:r>
      <w:proofErr w:type="gramStart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this</w:t>
      </w:r>
      <w:proofErr w:type="gramEnd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standard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the transformer efficiency is based on apparent power, this is equivalent to assuming that the power factor is equal to one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(see 4.1)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.</w:t>
      </w:r>
    </w:p>
    <w:p w:rsidR="00621D89" w:rsidRPr="00664F23" w:rsidRDefault="00621D89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3.2</w:t>
      </w:r>
    </w:p>
    <w:p w:rsidR="00812870" w:rsidRPr="00664F23" w:rsidRDefault="001C36AD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total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3D292B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losses </w:t>
      </w:r>
    </w:p>
    <w:p w:rsidR="00812870" w:rsidRPr="00664F23" w:rsidRDefault="0045392B">
      <w:pPr>
        <w:widowControl/>
        <w:ind w:right="142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Active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power consumed by the transformer at a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value of transmitted apparent power.</w:t>
      </w:r>
    </w:p>
    <w:p w:rsidR="00621D89" w:rsidRPr="00664F23" w:rsidRDefault="00621D89" w:rsidP="00E120AF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3.</w:t>
      </w:r>
      <w:r w:rsidR="00E67EC9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efficiency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index</w:t>
      </w:r>
      <w:r w:rsidR="00E120AF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method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A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EI</w:t>
      </w:r>
      <w:r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A</w:t>
      </w:r>
    </w:p>
    <w:p w:rsidR="00812870" w:rsidRPr="00664F23" w:rsidRDefault="001C36AD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Ratio of the transmitted apparent power of a transformer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minus </w:t>
      </w:r>
      <w:r w:rsidR="002B6E3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total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losses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to 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transmitted apparent power of the transformer for a given load factor.</w:t>
      </w:r>
    </w:p>
    <w:p w:rsidR="001C36AD" w:rsidRPr="00664F23" w:rsidRDefault="001C36A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3.4 </w:t>
      </w:r>
    </w:p>
    <w:p w:rsidR="00812870" w:rsidRPr="00664F23" w:rsidRDefault="00632889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peak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3D292B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efficiency index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PEI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Higher value of the efficiency index of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method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>which can be achieved with the optimal value of the load factor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NOTE: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To characterize </w:t>
      </w:r>
      <w:r w:rsidR="008B2FE2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the energy efficiency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>of transformers</w:t>
      </w:r>
      <w:r w:rsidR="004B7AE6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,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it is useful to define an index that is relevant to transformer design </w:t>
      </w:r>
      <w:r w:rsidR="004B7AE6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and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>applicable to a wide range of uses</w:t>
      </w:r>
      <w:r w:rsidR="004B7AE6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,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rather than a figure that varies second by second according to system conditions. For this reason, a metric, the </w:t>
      </w:r>
      <w:r w:rsidR="00632889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peak </w:t>
      </w:r>
      <w:r w:rsidR="00BE3DDA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efficiency </w:t>
      </w:r>
      <w:r w:rsidR="001C36AD" w:rsidRPr="00664F23">
        <w:rPr>
          <w:rFonts w:ascii="Arial" w:eastAsia="Calibri" w:hAnsi="Arial" w:cs="Arial"/>
          <w:sz w:val="18"/>
          <w:szCs w:val="18"/>
          <w:lang w:val="en-US" w:eastAsia="en-US"/>
        </w:rPr>
        <w:t>index, has been developed and used that is based on active power losses and total transmitted apparent power and is independent of load phase angle, load factor and power rating.</w:t>
      </w:r>
    </w:p>
    <w:p w:rsidR="001C36AD" w:rsidRPr="00664F23" w:rsidRDefault="001C36A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3.5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apparent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input power, </w:t>
      </w:r>
    </w:p>
    <w:p w:rsidR="00812870" w:rsidRPr="00664F23" w:rsidRDefault="00A25652">
      <w:pPr>
        <w:widowControl/>
        <w:ind w:right="142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i/>
          <w:sz w:val="22"/>
          <w:szCs w:val="22"/>
          <w:vertAlign w:val="subscript"/>
          <w:lang w:val="en-US" w:eastAsia="en-US"/>
        </w:rPr>
        <w:t>Sentrada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Product </w:t>
      </w:r>
      <w:r w:rsidR="00911A6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input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voltage and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>input current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lastRenderedPageBreak/>
        <w:t xml:space="preserve">NOTE </w:t>
      </w:r>
      <w:r w:rsidR="00137BF9" w:rsidRPr="00664F23">
        <w:rPr>
          <w:rFonts w:ascii="Arial" w:eastAsia="Calibri" w:hAnsi="Arial" w:cs="Arial"/>
          <w:sz w:val="18"/>
          <w:szCs w:val="18"/>
          <w:lang w:val="en-US" w:eastAsia="en-US"/>
        </w:rPr>
        <w:t>1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.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In </w:t>
      </w:r>
      <w:proofErr w:type="gramStart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this</w:t>
      </w:r>
      <w:proofErr w:type="gramEnd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standard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the transformer efficiency is based on apparent power, this is equivalent to assuming that the power factor is equal to one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(see 4.1)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.</w:t>
      </w:r>
    </w:p>
    <w:p w:rsidR="00812870" w:rsidRPr="00664F23" w:rsidRDefault="005A38D4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2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. 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For three-phase transformers</w:t>
      </w:r>
      <w:r w:rsidR="00152BAC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, </w:t>
      </w:r>
      <w:r w:rsidR="004727EC" w:rsidRPr="00664F23">
        <w:rPr>
          <w:rFonts w:ascii="Arial" w:eastAsia="Calibri" w:hAnsi="Arial" w:cs="Arial"/>
          <w:sz w:val="18"/>
          <w:szCs w:val="18"/>
          <w:lang w:val="en-US" w:eastAsia="en-US"/>
        </w:rPr>
        <w:t>multiply by √3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.</w:t>
      </w:r>
    </w:p>
    <w:p w:rsidR="001C36AD" w:rsidRPr="00664F23" w:rsidRDefault="001C36AD" w:rsidP="003F5B19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3.6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apparent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power output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Ssalida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Product between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output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voltage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>output current</w:t>
      </w:r>
      <w:r w:rsidR="00F90EED"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r w:rsidR="001C2003" w:rsidRPr="00664F23">
        <w:rPr>
          <w:rFonts w:ascii="Arial" w:eastAsia="Calibri" w:hAnsi="Arial" w:cs="Arial"/>
          <w:sz w:val="18"/>
          <w:szCs w:val="18"/>
          <w:lang w:val="en-US" w:eastAsia="en-US"/>
        </w:rPr>
        <w:t>1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.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In </w:t>
      </w:r>
      <w:proofErr w:type="gramStart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this</w:t>
      </w:r>
      <w:proofErr w:type="gramEnd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standard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the transformer efficiency is based on apparent power, this is equivalent to assuming that the power factor is equal to one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(see 4.1)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.</w:t>
      </w:r>
    </w:p>
    <w:p w:rsidR="00812870" w:rsidRPr="00664F23" w:rsidRDefault="005A38D4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2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. 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For three-phase transformers</w:t>
      </w:r>
      <w:r w:rsidR="00152BAC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, </w:t>
      </w:r>
      <w:r w:rsidR="001C2003" w:rsidRPr="00664F23">
        <w:rPr>
          <w:rFonts w:ascii="Arial" w:eastAsia="Calibri" w:hAnsi="Arial" w:cs="Arial"/>
          <w:sz w:val="18"/>
          <w:szCs w:val="18"/>
          <w:lang w:val="en-US" w:eastAsia="en-US"/>
        </w:rPr>
        <w:t>multiply by √3</w:t>
      </w:r>
      <w:r w:rsidR="003D292B" w:rsidRPr="00664F23">
        <w:rPr>
          <w:rFonts w:ascii="Arial" w:eastAsia="Calibri" w:hAnsi="Arial" w:cs="Arial"/>
          <w:sz w:val="18"/>
          <w:szCs w:val="18"/>
          <w:lang w:val="en-US" w:eastAsia="en-US"/>
        </w:rPr>
        <w:t>.</w:t>
      </w:r>
    </w:p>
    <w:p w:rsidR="00E95EBE" w:rsidRPr="00664F23" w:rsidRDefault="00E95EBE" w:rsidP="003F5B19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3.7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transformer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load factor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i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k</w:t>
      </w:r>
      <w:proofErr w:type="gramEnd"/>
    </w:p>
    <w:p w:rsidR="00812870" w:rsidRPr="00664F23" w:rsidRDefault="001C36AD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ratio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F90EE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between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input current </w:t>
      </w:r>
      <w:r w:rsidR="00911A6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rated current of the transformer</w:t>
      </w:r>
      <w:r w:rsidR="00F90EED"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5A38D4" w:rsidRPr="00664F23" w:rsidRDefault="005A38D4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3.8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load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factor of </w:t>
      </w:r>
      <w:r w:rsidR="008F3F1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peak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efficiency index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k</w:t>
      </w:r>
      <w:r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PEI</w:t>
      </w:r>
      <w:proofErr w:type="gramEnd"/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load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factor </w:t>
      </w:r>
      <w:r w:rsidR="001C200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which the </w:t>
      </w:r>
      <w:r w:rsidR="008F3F1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peak </w:t>
      </w:r>
      <w:r w:rsidR="00BE3DDA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efficiency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index is </w:t>
      </w:r>
      <w:r w:rsidR="001C200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obtained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(3.</w:t>
      </w:r>
      <w:r w:rsidR="001C2003" w:rsidRPr="00664F23">
        <w:rPr>
          <w:rFonts w:ascii="Arial" w:eastAsia="Calibri" w:hAnsi="Arial" w:cs="Arial"/>
          <w:sz w:val="22"/>
          <w:szCs w:val="22"/>
          <w:lang w:val="en-US" w:eastAsia="en-US"/>
        </w:rPr>
        <w:t>4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="00F90EED"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F6CEC" w:rsidRPr="00664F23" w:rsidRDefault="00FF6CEC" w:rsidP="00E95EBE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3.9 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apparent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transmitted power</w:t>
      </w:r>
    </w:p>
    <w:p w:rsidR="00812870" w:rsidRPr="00664F23" w:rsidRDefault="003D292B">
      <w:pPr>
        <w:widowControl/>
        <w:ind w:right="142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kS</w:t>
      </w:r>
      <w:r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r</w:t>
      </w:r>
      <w:proofErr w:type="gramEnd"/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product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9A4FF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between the transformer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load factor and the rated power.</w:t>
      </w:r>
    </w:p>
    <w:p w:rsidR="005A38D4" w:rsidRPr="00664F23" w:rsidRDefault="005A38D4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4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Calculation of </w:t>
      </w:r>
      <w:r w:rsidR="009A4FFB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efficiency and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efficiency ratio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4.1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General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Transformer efficiency is based on apparent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power,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this is equivalent to assuming that the power factor is </w:t>
      </w:r>
      <w:r w:rsidR="00A77594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equal to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one. For transformers, efficiency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is expressed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as </w:t>
      </w:r>
      <w:r w:rsidR="00055C5A" w:rsidRPr="00664F23">
        <w:rPr>
          <w:rFonts w:ascii="Arial" w:eastAsia="Calibri" w:hAnsi="Arial" w:cs="Arial"/>
          <w:sz w:val="22"/>
          <w:szCs w:val="22"/>
          <w:lang w:val="en-US" w:eastAsia="en-US"/>
        </w:rPr>
        <w:t>follows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812870" w:rsidRPr="00664F23" w:rsidRDefault="003D292B">
      <w:pPr>
        <w:widowControl/>
        <w:spacing w:after="200" w:line="276" w:lineRule="auto"/>
        <w:jc w:val="right"/>
        <w:rPr>
          <w:rFonts w:ascii="Calibri" w:eastAsia="Calibri" w:hAnsi="Calibri"/>
          <w:sz w:val="22"/>
          <w:szCs w:val="22"/>
          <w:lang w:val="en-US" w:eastAsia="en-US"/>
        </w:rPr>
      </w:pPr>
      <m:oMath>
        <m:r>
          <w:rPr>
            <w:rFonts w:ascii="Cambria Math" w:eastAsia="Calibri" w:hAnsi="Cambria Math"/>
            <w:sz w:val="22"/>
            <w:szCs w:val="22"/>
            <w:lang w:val="es-AR" w:eastAsia="en-US"/>
          </w:rPr>
          <m:t>Eficiencia</m:t>
        </m:r>
        <m:r>
          <w:rPr>
            <w:rFonts w:ascii="Cambria Math" w:eastAsia="Calibri" w:hAnsi="Cambria Math"/>
            <w:sz w:val="22"/>
            <w:szCs w:val="22"/>
            <w:lang w:val="en-US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AR" w:eastAsia="en-US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Sentrada</m:t>
            </m:r>
            <m: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  <m:t>-</m:t>
            </m:r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L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Sentrada</m:t>
            </m:r>
          </m:den>
        </m:f>
        <m:r>
          <w:rPr>
            <w:rFonts w:ascii="Cambria Math" w:eastAsia="Calibri" w:hAnsi="Cambria Math"/>
            <w:sz w:val="22"/>
            <w:szCs w:val="22"/>
            <w:lang w:val="en-US"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AR" w:eastAsia="en-US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Ssalida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Ssalida</m:t>
            </m:r>
            <m: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  <m:t>+</m:t>
            </m:r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L</m:t>
            </m:r>
          </m:den>
        </m:f>
      </m:oMath>
      <w:r w:rsidR="001C4EF8" w:rsidRPr="00664F23">
        <w:rPr>
          <w:rFonts w:ascii="Arial" w:hAnsi="Arial" w:cs="Arial"/>
          <w:sz w:val="22"/>
          <w:szCs w:val="22"/>
          <w:lang w:val="en-US"/>
        </w:rPr>
        <w:t xml:space="preserve">                                               (1)</w:t>
      </w:r>
    </w:p>
    <w:p w:rsidR="001C4EF8" w:rsidRPr="00664F23" w:rsidRDefault="001C4EF8" w:rsidP="001C4EF8">
      <w:pPr>
        <w:widowControl/>
        <w:spacing w:after="200" w:line="276" w:lineRule="auto"/>
        <w:jc w:val="left"/>
        <w:rPr>
          <w:rFonts w:ascii="Calibri" w:hAnsi="Calibri"/>
          <w:sz w:val="22"/>
          <w:szCs w:val="22"/>
          <w:lang w:val="en-US" w:eastAsia="en-US"/>
        </w:rPr>
      </w:pPr>
    </w:p>
    <w:p w:rsidR="00F16E26" w:rsidRPr="00664F23" w:rsidRDefault="00F16E26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6E26" w:rsidRPr="00664F23" w:rsidRDefault="00F16E26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power </w:t>
      </w:r>
      <w:r w:rsidR="0084587E"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S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can be either </w:t>
      </w:r>
      <w:r w:rsidR="006C7AA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input apparent power or </w:t>
      </w:r>
      <w:r w:rsidR="003B33A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output apparent power</w:t>
      </w:r>
      <w:r w:rsidR="003B33A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resulting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two methods for calculating efficiency (method A and method B), both of </w:t>
      </w:r>
      <w:r w:rsidR="005C4C5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which have been used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historically.</w:t>
      </w:r>
    </w:p>
    <w:p w:rsidR="009539AA" w:rsidRPr="00664F23" w:rsidRDefault="009539AA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200" w:line="276" w:lineRule="auto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/>
        </w:rPr>
        <w:t xml:space="preserve">Method </w:t>
      </w:r>
      <w:r w:rsidRPr="00664F23">
        <w:rPr>
          <w:rFonts w:ascii="Arial" w:eastAsia="Calibri" w:hAnsi="Arial" w:cs="Arial"/>
          <w:sz w:val="22"/>
          <w:szCs w:val="22"/>
          <w:lang w:val="en-US"/>
        </w:rPr>
        <w:t xml:space="preserve">A </w:t>
      </w:r>
      <m:oMath>
        <m:r>
          <w:rPr>
            <w:rFonts w:ascii="Cambria Math" w:eastAsia="Calibri" w:hAnsi="Cambria Math"/>
            <w:sz w:val="22"/>
            <w:szCs w:val="22"/>
            <w:lang w:val="es-AR" w:eastAsia="en-US"/>
          </w:rPr>
          <m:t>Eficiencia</m:t>
        </m:r>
        <m:r>
          <w:rPr>
            <w:rFonts w:ascii="Cambria Math" w:eastAsia="Calibri" w:hAnsi="Cambria Math"/>
            <w:sz w:val="22"/>
            <w:szCs w:val="22"/>
            <w:lang w:val="en-US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AR" w:eastAsia="en-US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</m:t>
            </m:r>
            <m: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  <m:t>-</m:t>
            </m:r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L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</m:t>
            </m:r>
          </m:den>
        </m:f>
      </m:oMath>
      <w:r w:rsidRPr="00664F23">
        <w:rPr>
          <w:rFonts w:ascii="Arial" w:eastAsia="Calibri" w:hAnsi="Arial" w:cs="Arial"/>
          <w:sz w:val="22"/>
          <w:szCs w:val="22"/>
          <w:lang w:val="en-US"/>
        </w:rPr>
        <w:t xml:space="preserve">                                                                 (2)</w:t>
      </w:r>
    </w:p>
    <w:p w:rsidR="009539AA" w:rsidRPr="00664F23" w:rsidRDefault="009539AA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9539AA">
      <w:pPr>
        <w:widowControl/>
        <w:spacing w:after="200" w:line="276" w:lineRule="auto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/>
        </w:rPr>
        <w:t xml:space="preserve">   Method </w:t>
      </w:r>
      <w:r w:rsidRPr="00664F23">
        <w:rPr>
          <w:rFonts w:ascii="Arial" w:eastAsia="Calibri" w:hAnsi="Arial" w:cs="Arial"/>
          <w:sz w:val="22"/>
          <w:szCs w:val="22"/>
          <w:lang w:val="en-US"/>
        </w:rPr>
        <w:t xml:space="preserve">B </w:t>
      </w:r>
      <m:oMath>
        <m:r>
          <w:rPr>
            <w:rFonts w:ascii="Cambria Math" w:eastAsia="Calibri" w:hAnsi="Cambria Math"/>
            <w:sz w:val="22"/>
            <w:szCs w:val="22"/>
            <w:lang w:val="es-AR" w:eastAsia="en-US"/>
          </w:rPr>
          <m:t>Eficiencia</m:t>
        </m:r>
        <m:r>
          <w:rPr>
            <w:rFonts w:ascii="Cambria Math" w:eastAsia="Calibri" w:hAnsi="Cambria Math"/>
            <w:sz w:val="22"/>
            <w:szCs w:val="22"/>
            <w:lang w:val="en-US" w:eastAsia="en-US"/>
          </w:rPr>
          <m:t xml:space="preserve">= 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val="es-AR" w:eastAsia="en-US"/>
              </w:rPr>
            </m:ctrlPr>
          </m:fPr>
          <m:num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</m:t>
            </m:r>
          </m:num>
          <m:den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S</m:t>
            </m:r>
            <m:r>
              <w:rPr>
                <w:rFonts w:ascii="Cambria Math" w:eastAsia="Calibri" w:hAnsi="Cambria Math"/>
                <w:sz w:val="22"/>
                <w:szCs w:val="22"/>
                <w:lang w:val="en-US" w:eastAsia="en-US"/>
              </w:rPr>
              <m:t>+</m:t>
            </m:r>
            <m:r>
              <w:rPr>
                <w:rFonts w:ascii="Cambria Math" w:eastAsia="Calibri" w:hAnsi="Cambria Math"/>
                <w:sz w:val="22"/>
                <w:szCs w:val="22"/>
                <w:lang w:val="es-AR" w:eastAsia="en-US"/>
              </w:rPr>
              <m:t>L</m:t>
            </m:r>
          </m:den>
        </m:f>
      </m:oMath>
      <w:r w:rsidRPr="00664F23">
        <w:rPr>
          <w:rFonts w:ascii="Arial" w:eastAsia="Calibri" w:hAnsi="Arial" w:cs="Arial"/>
          <w:sz w:val="22"/>
          <w:szCs w:val="22"/>
          <w:lang w:val="en-US"/>
        </w:rPr>
        <w:t xml:space="preserve">                                                                    (3)</w:t>
      </w:r>
    </w:p>
    <w:p w:rsidR="001C36AD" w:rsidRPr="00664F23" w:rsidRDefault="001C36AD" w:rsidP="005A38D4">
      <w:pPr>
        <w:widowControl/>
        <w:spacing w:after="160"/>
        <w:ind w:right="139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being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S </w:t>
      </w:r>
      <w:r w:rsidR="005C4C57" w:rsidRPr="00664F23">
        <w:rPr>
          <w:rFonts w:ascii="Arial" w:eastAsia="Calibri" w:hAnsi="Arial" w:cs="Arial"/>
          <w:sz w:val="22"/>
          <w:szCs w:val="22"/>
          <w:lang w:val="en-US" w:eastAsia="en-US"/>
        </w:rPr>
        <w:t>the apparent input or output power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L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sum of </w:t>
      </w:r>
      <w:r w:rsidR="007E3F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no-load </w:t>
      </w:r>
      <w:r w:rsidR="00864E6F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</w:t>
      </w:r>
      <w:r w:rsidR="008E6BC8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due to load, 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NOTE</w:t>
      </w:r>
      <w:proofErr w:type="gramStart"/>
      <w:r w:rsidR="00D75927" w:rsidRPr="00664F23">
        <w:rPr>
          <w:rFonts w:ascii="Arial" w:eastAsia="Calibri" w:hAnsi="Arial" w:cs="Arial"/>
          <w:sz w:val="18"/>
          <w:szCs w:val="18"/>
          <w:lang w:val="en-US" w:eastAsia="en-US"/>
        </w:rPr>
        <w:t>,</w:t>
      </w:r>
      <w:proofErr w:type="gramEnd"/>
      <w:r w:rsidR="00D75927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</w:t>
      </w:r>
      <w:r w:rsidRPr="00664F23">
        <w:rPr>
          <w:rFonts w:ascii="Arial" w:eastAsia="Calibri" w:hAnsi="Arial" w:cs="Arial"/>
          <w:i/>
          <w:sz w:val="18"/>
          <w:szCs w:val="18"/>
          <w:lang w:val="en-US" w:eastAsia="en-US"/>
        </w:rPr>
        <w:t xml:space="preserve">S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is defined as </w:t>
      </w:r>
      <w:r w:rsidR="000C67C0" w:rsidRPr="00664F23">
        <w:rPr>
          <w:rFonts w:ascii="Arial" w:eastAsia="Calibri" w:hAnsi="Arial" w:cs="Arial"/>
          <w:sz w:val="18"/>
          <w:szCs w:val="18"/>
          <w:lang w:val="en-US" w:eastAsia="en-US"/>
        </w:rPr>
        <w:t>"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apparent input power</w:t>
      </w:r>
      <w:r w:rsidR="000C67C0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"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in method A and as </w:t>
      </w:r>
      <w:r w:rsidR="000C67C0" w:rsidRPr="00664F23">
        <w:rPr>
          <w:rFonts w:ascii="Arial" w:eastAsia="Calibri" w:hAnsi="Arial" w:cs="Arial"/>
          <w:sz w:val="18"/>
          <w:szCs w:val="18"/>
          <w:lang w:val="en-US" w:eastAsia="en-US"/>
        </w:rPr>
        <w:t>"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apparent output power</w:t>
      </w:r>
      <w:r w:rsidR="000C67C0"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" </w:t>
      </w: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in method B.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Due to the scope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 </w:t>
      </w:r>
      <w:r w:rsidR="00AC5760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this rule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in order </w:t>
      </w:r>
      <w:r w:rsidR="00AC5760" w:rsidRPr="00664F23">
        <w:rPr>
          <w:rFonts w:ascii="Arial" w:eastAsia="Calibri" w:hAnsi="Arial" w:cs="Arial"/>
          <w:sz w:val="22"/>
          <w:szCs w:val="22"/>
          <w:lang w:val="en-US" w:eastAsia="en-US"/>
        </w:rPr>
        <w:t>to facilitate its understanding,</w:t>
      </w:r>
      <w:proofErr w:type="gramEnd"/>
      <w:r w:rsidR="00AC5760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it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is </w:t>
      </w:r>
      <w:r w:rsidR="00AC5760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conventionally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assumed that:</w:t>
      </w:r>
    </w:p>
    <w:p w:rsidR="00812870" w:rsidRPr="00664F23" w:rsidRDefault="00AC5760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voltage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and load current systems are symmetrical and sinusoidal;</w:t>
      </w:r>
    </w:p>
    <w:p w:rsidR="00812870" w:rsidRPr="00664F23" w:rsidRDefault="00AC5760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the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line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voltage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is equal to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nominal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voltage.</w:t>
      </w:r>
    </w:p>
    <w:p w:rsidR="001C36AD" w:rsidRPr="00664F23" w:rsidRDefault="001C36A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4.2 Energy yield evaluation method.</w:t>
      </w:r>
    </w:p>
    <w:p w:rsidR="00812870" w:rsidRPr="00664F23" w:rsidRDefault="001C36AD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To consider energy efficiency in a practical manner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for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purposes of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>this standard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the power factor is assumed to be </w:t>
      </w:r>
      <w:r w:rsidR="00891227" w:rsidRPr="00664F23">
        <w:rPr>
          <w:rFonts w:ascii="Arial" w:eastAsia="Calibri" w:hAnsi="Arial" w:cs="Arial"/>
          <w:sz w:val="22"/>
          <w:szCs w:val="22"/>
          <w:lang w:val="en-US" w:eastAsia="en-US"/>
        </w:rPr>
        <w:t>equal to one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and efficiency is </w:t>
      </w:r>
      <w:r w:rsidR="00F36A52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defined based on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 efficiency rating at a </w:t>
      </w:r>
      <w:r w:rsidR="00F36A52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load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power.</w:t>
      </w:r>
    </w:p>
    <w:p w:rsidR="00812870" w:rsidRPr="00664F23" w:rsidRDefault="00891227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This standard </w:t>
      </w:r>
      <w:r w:rsidR="00441FBB"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adopts </w:t>
      </w:r>
      <w:r w:rsidR="003D292B"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method </w:t>
      </w:r>
      <w:r w:rsidR="00441FBB"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A </w:t>
      </w:r>
      <w:r w:rsidR="00F36A52"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(according to TS IEC 60076-20:2017) </w:t>
      </w:r>
      <w:r w:rsidR="003D292B" w:rsidRPr="00664F2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to calculate the efficiency index.</w:t>
      </w:r>
    </w:p>
    <w:p w:rsidR="001C36AD" w:rsidRPr="00664F23" w:rsidRDefault="001C36A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4.3 Method A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4.3.1 General efficiency index formula </w:t>
      </w:r>
      <w:r w:rsidR="00806D38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(</w:t>
      </w:r>
      <w:proofErr w:type="gramStart"/>
      <w:r w:rsidR="00806D38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EI</w:t>
      </w:r>
      <w:r w:rsidR="00806D38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A</w:t>
      </w:r>
      <w:r w:rsidR="00806D38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)</w:t>
      </w:r>
      <w:proofErr w:type="gramEnd"/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efficiency index according to method A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is calculated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according to the formula </w:t>
      </w:r>
      <w:r w:rsidR="00806D38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(4) </w:t>
      </w:r>
      <w:r w:rsidR="00D7200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below, expressed 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per unit:</w:t>
      </w:r>
    </w:p>
    <w:p w:rsidR="00812870" w:rsidRPr="00664F23" w:rsidRDefault="003D292B">
      <w:pPr>
        <w:widowControl/>
        <w:spacing w:after="160"/>
        <w:ind w:right="139"/>
        <w:jc w:val="right"/>
        <w:rPr>
          <w:rFonts w:ascii="Arial" w:eastAsia="Calibri" w:hAnsi="Arial" w:cs="Arial"/>
          <w:sz w:val="22"/>
          <w:szCs w:val="22"/>
          <w:lang w:val="en-US" w:eastAsia="en-US"/>
        </w:rPr>
      </w:pPr>
      <w:r w:rsidRPr="001B4B7C">
        <w:rPr>
          <w:rFonts w:ascii="Arial" w:hAnsi="Arial" w:cs="Arial"/>
          <w:position w:val="-30"/>
          <w:sz w:val="22"/>
          <w:szCs w:val="22"/>
        </w:rPr>
        <w:object w:dxaOrig="2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6pt" o:ole="">
            <v:imagedata r:id="rId14" o:title=""/>
          </v:shape>
          <o:OLEObject Type="Embed" ProgID="Equation.3" ShapeID="_x0000_i1025" DrawAspect="Content" ObjectID="_1730557166" r:id="rId15"/>
        </w:object>
      </w:r>
      <w:r w:rsidRPr="00664F2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(4)</w:t>
      </w:r>
    </w:p>
    <w:p w:rsidR="00812870" w:rsidRPr="00664F23" w:rsidRDefault="006557A0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being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P</w:t>
      </w:r>
      <w:r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0</w:t>
      </w:r>
      <w:r w:rsidR="00864E6F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the </w:t>
      </w:r>
      <w:r w:rsidR="007E3F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no-load </w:t>
      </w:r>
      <w:r w:rsidR="00864E6F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</w:t>
      </w:r>
      <w:r w:rsidR="00B779C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measured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at rated voltage,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rated frequency and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rated </w:t>
      </w:r>
      <w:r w:rsidR="006F7389" w:rsidRPr="00664F23">
        <w:rPr>
          <w:rFonts w:ascii="Arial" w:eastAsia="Calibri" w:hAnsi="Arial" w:cs="Arial"/>
          <w:sz w:val="22"/>
          <w:szCs w:val="22"/>
          <w:lang w:val="en-US" w:eastAsia="en-US"/>
        </w:rPr>
        <w:t>tap</w:t>
      </w:r>
      <w:r w:rsidR="00B779C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277B9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expressed </w:t>
      </w:r>
      <w:r w:rsidR="00B779C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="000011FD" w:rsidRPr="00664F23">
        <w:rPr>
          <w:rFonts w:ascii="Arial" w:eastAsia="Calibri" w:hAnsi="Arial" w:cs="Arial"/>
          <w:sz w:val="22"/>
          <w:szCs w:val="22"/>
          <w:lang w:val="en-US" w:eastAsia="en-US"/>
        </w:rPr>
        <w:t>watts (</w:t>
      </w:r>
      <w:r w:rsidR="00B779C9" w:rsidRPr="00664F23">
        <w:rPr>
          <w:rFonts w:ascii="Arial" w:eastAsia="Calibri" w:hAnsi="Arial" w:cs="Arial"/>
          <w:sz w:val="22"/>
          <w:szCs w:val="22"/>
          <w:lang w:val="en-US" w:eastAsia="en-US"/>
        </w:rPr>
        <w:t>W</w:t>
      </w:r>
      <w:r w:rsidR="000011FD" w:rsidRPr="00664F23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proofErr w:type="gramStart"/>
      <w:r w:rsidR="00B779C9"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  <w:proofErr w:type="gramEnd"/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>P</w:t>
      </w:r>
      <w:r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k</w:t>
      </w:r>
      <w:r w:rsidR="008E6BC8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the losses due to the load </w:t>
      </w:r>
      <w:r w:rsidR="00C02CCE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measured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at rated current and rated frequency at the rated </w:t>
      </w:r>
      <w:r w:rsidR="00C02CCE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tap,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corrected to the reference temperature</w:t>
      </w:r>
      <w:r w:rsidR="00C02CCE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="00277B9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expressed </w:t>
      </w:r>
      <w:r w:rsidR="00C02CCE" w:rsidRPr="00664F23">
        <w:rPr>
          <w:rFonts w:ascii="Arial" w:eastAsia="Calibri" w:hAnsi="Arial" w:cs="Arial"/>
          <w:sz w:val="22"/>
          <w:szCs w:val="22"/>
          <w:lang w:val="en-US" w:eastAsia="en-US"/>
        </w:rPr>
        <w:t>in watts (W)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  <w:proofErr w:type="gramEnd"/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>S</w:t>
      </w:r>
      <w:r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r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is the rated power of the transformer as defined </w:t>
      </w:r>
      <w:r w:rsidR="00D86FA5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IEC 60076-1 </w:t>
      </w:r>
      <w:r w:rsidR="00277B9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expressed </w:t>
      </w:r>
      <w:r w:rsidR="00D86FA5" w:rsidRPr="00664F23">
        <w:rPr>
          <w:rFonts w:ascii="Arial" w:eastAsia="Calibri" w:hAnsi="Arial" w:cs="Arial"/>
          <w:sz w:val="22"/>
          <w:szCs w:val="22"/>
          <w:lang w:val="en-US" w:eastAsia="en-US"/>
        </w:rPr>
        <w:t>in volt-ampere (VA)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>k</w:t>
      </w:r>
      <w:proofErr w:type="gramEnd"/>
      <w:r w:rsidRPr="00664F23">
        <w:rPr>
          <w:rFonts w:ascii="Arial" w:eastAsia="Calibri" w:hAnsi="Arial" w:cs="Arial"/>
          <w:i/>
          <w:sz w:val="22"/>
          <w:szCs w:val="22"/>
          <w:lang w:val="en-US" w:eastAsia="en-US"/>
        </w:rPr>
        <w:t xml:space="preserve">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the load factor.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This approach respects the philosophy of </w:t>
      </w:r>
      <w:r w:rsidR="00C76E2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IEC 60076 series </w:t>
      </w:r>
      <w:r w:rsidR="00C76E21" w:rsidRPr="00664F23">
        <w:rPr>
          <w:rFonts w:ascii="Arial" w:eastAsia="Calibri" w:hAnsi="Arial" w:cs="Arial"/>
          <w:sz w:val="22"/>
          <w:szCs w:val="22"/>
          <w:lang w:val="en-US" w:eastAsia="en-US"/>
        </w:rPr>
        <w:t>transformer standards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which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refers the power rating to the rated voltage and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rated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current of one of the transformer </w:t>
      </w:r>
      <w:r w:rsidR="0091513B" w:rsidRPr="00664F23">
        <w:rPr>
          <w:rFonts w:ascii="Arial" w:eastAsia="Calibri" w:hAnsi="Arial" w:cs="Arial"/>
          <w:sz w:val="22"/>
          <w:szCs w:val="22"/>
          <w:lang w:val="en-US" w:eastAsia="en-US"/>
        </w:rPr>
        <w:t>windings.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the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calculation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it </w:t>
      </w:r>
      <w:r w:rsidR="00152BAC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must be considered </w:t>
      </w:r>
      <w:r w:rsidR="00DB5776" w:rsidRPr="00664F23">
        <w:rPr>
          <w:rFonts w:ascii="Arial" w:eastAsia="Calibri" w:hAnsi="Arial" w:cs="Arial"/>
          <w:sz w:val="22"/>
          <w:szCs w:val="22"/>
          <w:lang w:val="en-US" w:eastAsia="en-US"/>
        </w:rPr>
        <w:t>that the reference temperature at the nominal power chosen for the losses must be in accordance with IEC 60076-1.</w:t>
      </w:r>
    </w:p>
    <w:p w:rsidR="00F36A52" w:rsidRPr="00664F23" w:rsidRDefault="00F36A52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4.3.2 </w:t>
      </w:r>
      <w:r w:rsidR="00964B17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Peak </w:t>
      </w:r>
      <w:r w:rsidR="00BE3DDA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efficiency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index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</w:t>
      </w:r>
      <w:r w:rsidR="00CF125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peak </w:t>
      </w:r>
      <w:r w:rsidR="00BE3DDA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efficiency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index (PEI) is obtained when the </w:t>
      </w:r>
      <w:r w:rsidR="007E3F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no-load </w:t>
      </w:r>
      <w:r w:rsidR="00864E6F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</w:t>
      </w:r>
      <w:r w:rsidR="000F0E1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are equal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 the </w:t>
      </w:r>
      <w:r w:rsidR="008E6BC8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due to the load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is obtained by substituting k in equation (4) with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k</w:t>
      </w:r>
      <w:r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PE</w:t>
      </w:r>
      <w:r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>I</w:t>
      </w:r>
      <w:r w:rsidR="000F0E1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,</w:t>
      </w:r>
      <w:proofErr w:type="gramEnd"/>
      <w:r w:rsidR="000F0E19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752BA6" w:rsidRPr="00664F23">
        <w:rPr>
          <w:rFonts w:ascii="Arial" w:eastAsia="Calibri" w:hAnsi="Arial" w:cs="Arial"/>
          <w:sz w:val="22"/>
          <w:szCs w:val="22"/>
          <w:lang w:val="en-US" w:eastAsia="en-US"/>
        </w:rPr>
        <w:t>indicated</w:t>
      </w:r>
      <w:r w:rsidR="000F0E19" w:rsidRPr="00664F23">
        <w:rPr>
          <w:rFonts w:ascii="Arial" w:eastAsia="Calibri" w:hAnsi="Arial" w:cs="Arial"/>
          <w:sz w:val="22"/>
          <w:szCs w:val="22"/>
          <w:vertAlign w:val="subscript"/>
          <w:lang w:val="en-US" w:eastAsia="en-US"/>
        </w:rPr>
        <w:t xml:space="preserve">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in the following </w:t>
      </w:r>
      <w:r w:rsidR="000F0E19" w:rsidRPr="00664F23">
        <w:rPr>
          <w:rFonts w:ascii="Arial" w:eastAsia="Calibri" w:hAnsi="Arial" w:cs="Arial"/>
          <w:sz w:val="22"/>
          <w:szCs w:val="22"/>
          <w:lang w:val="en-US" w:eastAsia="en-US"/>
        </w:rPr>
        <w:t>formula:</w:t>
      </w:r>
    </w:p>
    <w:p w:rsidR="00812870" w:rsidRPr="00664F23" w:rsidRDefault="003D292B">
      <w:pPr>
        <w:widowControl/>
        <w:spacing w:after="160"/>
        <w:ind w:right="139"/>
        <w:jc w:val="right"/>
        <w:rPr>
          <w:rFonts w:ascii="Arial" w:eastAsia="Calibri" w:hAnsi="Arial" w:cs="Arial"/>
          <w:sz w:val="22"/>
          <w:szCs w:val="22"/>
          <w:lang w:val="en-US" w:eastAsia="en-US"/>
        </w:rPr>
      </w:pPr>
      <w:r w:rsidRPr="00DA6CED">
        <w:rPr>
          <w:rFonts w:ascii="Arial" w:hAnsi="Arial" w:cs="Arial"/>
          <w:position w:val="-32"/>
          <w:sz w:val="22"/>
          <w:szCs w:val="22"/>
        </w:rPr>
        <w:object w:dxaOrig="1880" w:dyaOrig="760">
          <v:shape id="_x0000_i1026" type="#_x0000_t75" style="width:93.9pt;height:38.1pt" o:ole="">
            <v:imagedata r:id="rId16" o:title=""/>
          </v:shape>
          <o:OLEObject Type="Embed" ProgID="Equation.3" ShapeID="_x0000_i1026" DrawAspect="Content" ObjectID="_1730557167" r:id="rId17"/>
        </w:object>
      </w:r>
      <w:r w:rsidRPr="00664F2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(5)</w:t>
      </w:r>
    </w:p>
    <w:p w:rsidR="00DA6CED" w:rsidRPr="00664F23" w:rsidRDefault="00DA6CE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Therefore, the formula for calculating the PEI </w:t>
      </w:r>
      <w:proofErr w:type="gramStart"/>
      <w:r w:rsidR="00FF6B57" w:rsidRPr="00664F23">
        <w:rPr>
          <w:rFonts w:ascii="Arial" w:eastAsia="Calibri" w:hAnsi="Arial" w:cs="Arial"/>
          <w:sz w:val="22"/>
          <w:szCs w:val="22"/>
          <w:lang w:val="en-US" w:eastAsia="en-US"/>
        </w:rPr>
        <w:t>is given</w:t>
      </w:r>
      <w:proofErr w:type="gramEnd"/>
      <w:r w:rsidR="00FF6B5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equation (6):</w:t>
      </w:r>
    </w:p>
    <w:p w:rsidR="00DA6CED" w:rsidRPr="00664F23" w:rsidRDefault="00DA6CE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jc w:val="right"/>
        <w:rPr>
          <w:rFonts w:ascii="Arial" w:eastAsia="Calibri" w:hAnsi="Arial" w:cs="Arial"/>
          <w:sz w:val="22"/>
          <w:szCs w:val="22"/>
          <w:lang w:val="en-US" w:eastAsia="en-US"/>
        </w:rPr>
      </w:pPr>
      <w:r w:rsidRPr="00DA6CED">
        <w:rPr>
          <w:rFonts w:ascii="Arial" w:hAnsi="Arial" w:cs="Arial"/>
          <w:position w:val="-68"/>
          <w:sz w:val="22"/>
          <w:szCs w:val="22"/>
        </w:rPr>
        <w:object w:dxaOrig="2420" w:dyaOrig="1060">
          <v:shape id="_x0000_i1027" type="#_x0000_t75" style="width:120.9pt;height:53.1pt" o:ole="">
            <v:imagedata r:id="rId18" o:title=""/>
          </v:shape>
          <o:OLEObject Type="Embed" ProgID="Equation.3" ShapeID="_x0000_i1027" DrawAspect="Content" ObjectID="_1730557168" r:id="rId19"/>
        </w:object>
      </w:r>
      <w:r w:rsidRPr="00664F23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(6)</w:t>
      </w:r>
    </w:p>
    <w:p w:rsidR="00DA6CED" w:rsidRPr="00664F23" w:rsidRDefault="00DA6CED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are </w:t>
      </w:r>
      <w:r w:rsidR="00FF6B57" w:rsidRPr="00664F23">
        <w:rPr>
          <w:rFonts w:ascii="Arial" w:eastAsia="Calibri" w:hAnsi="Arial" w:cs="Arial"/>
          <w:sz w:val="22"/>
          <w:szCs w:val="22"/>
          <w:lang w:val="en-US" w:eastAsia="en-US"/>
        </w:rPr>
        <w:t>measured</w:t>
      </w:r>
      <w:proofErr w:type="gramEnd"/>
      <w:r w:rsidR="00FF6B5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accordance with the methods specified in 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IEC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60076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series </w:t>
      </w:r>
      <w:r w:rsidR="00FF6B57" w:rsidRPr="00664F23">
        <w:rPr>
          <w:rFonts w:ascii="Arial" w:eastAsia="Calibri" w:hAnsi="Arial" w:cs="Arial"/>
          <w:sz w:val="22"/>
          <w:szCs w:val="22"/>
          <w:lang w:val="en-US" w:eastAsia="en-US"/>
        </w:rPr>
        <w:t>of transformers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NOTE </w:t>
      </w:r>
      <w:proofErr w:type="gramStart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>The</w:t>
      </w:r>
      <w:proofErr w:type="gramEnd"/>
      <w:r w:rsidRPr="00664F23">
        <w:rPr>
          <w:rFonts w:ascii="Arial" w:eastAsia="Calibri" w:hAnsi="Arial" w:cs="Arial"/>
          <w:sz w:val="18"/>
          <w:szCs w:val="18"/>
          <w:lang w:val="en-US" w:eastAsia="en-US"/>
        </w:rPr>
        <w:t xml:space="preserve"> value of equation (6) depends on the ratio Sr / √P </w:t>
      </w:r>
      <w:r w:rsidRPr="00664F23">
        <w:rPr>
          <w:rFonts w:ascii="Arial" w:eastAsia="Calibri" w:hAnsi="Arial" w:cs="Arial"/>
          <w:sz w:val="18"/>
          <w:szCs w:val="18"/>
          <w:vertAlign w:val="subscript"/>
          <w:lang w:val="en-US" w:eastAsia="en-US"/>
        </w:rPr>
        <w:t>K</w:t>
      </w:r>
    </w:p>
    <w:p w:rsidR="00344946" w:rsidRPr="00664F23" w:rsidRDefault="00344946" w:rsidP="005A38D4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highlight w:val="yellow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5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Specification </w:t>
      </w:r>
      <w:r w:rsidR="00F36A52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of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energy performance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energy efficiency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of a transformer </w:t>
      </w:r>
      <w:proofErr w:type="gramStart"/>
      <w:r w:rsidR="000024C3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should be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>specified</w:t>
      </w:r>
      <w:proofErr w:type="gramEnd"/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as </w:t>
      </w:r>
      <w:r w:rsidR="00932EA3" w:rsidRPr="00664F23">
        <w:rPr>
          <w:rFonts w:ascii="Arial" w:eastAsia="Calibri" w:hAnsi="Arial" w:cs="Arial"/>
          <w:sz w:val="22"/>
          <w:szCs w:val="22"/>
          <w:lang w:val="en-US" w:eastAsia="en-US"/>
        </w:rPr>
        <w:t>follows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812870" w:rsidRPr="00664F23" w:rsidRDefault="003D292B">
      <w:pPr>
        <w:widowControl/>
        <w:numPr>
          <w:ilvl w:val="0"/>
          <w:numId w:val="19"/>
        </w:numPr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maximum losses </w:t>
      </w:r>
      <w:r w:rsidR="00A60C22" w:rsidRPr="00664F23">
        <w:rPr>
          <w:rFonts w:ascii="Arial" w:eastAsia="Calibri" w:hAnsi="Arial" w:cs="Arial"/>
          <w:sz w:val="22"/>
          <w:szCs w:val="22"/>
          <w:lang w:val="en-US" w:eastAsia="en-US"/>
        </w:rPr>
        <w:t>due to load and maximum no-load losses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 additional requirements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can be added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and one of the available </w:t>
      </w:r>
      <w:r w:rsidR="00F36A52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energy performance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levels must be selected.</w:t>
      </w:r>
    </w:p>
    <w:p w:rsidR="00F5243B" w:rsidRPr="00664F23" w:rsidRDefault="00F5243B" w:rsidP="005A38D4">
      <w:pPr>
        <w:widowControl/>
        <w:spacing w:after="160"/>
        <w:ind w:right="139"/>
        <w:rPr>
          <w:rFonts w:ascii="Arial" w:eastAsia="Calibri" w:hAnsi="Arial" w:cs="Arial"/>
          <w:sz w:val="18"/>
          <w:szCs w:val="18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6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r w:rsidR="00A9562F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Energy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efficiency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levels 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6.1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General</w:t>
      </w:r>
    </w:p>
    <w:p w:rsidR="00812870" w:rsidRPr="00664F23" w:rsidRDefault="004A1F51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This standard </w:t>
      </w:r>
      <w:r w:rsidR="003D53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establishes two </w:t>
      </w:r>
      <w:r w:rsidR="003D29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levels of </w:t>
      </w:r>
      <w:r w:rsidR="003D532B" w:rsidRPr="00664F23">
        <w:rPr>
          <w:rFonts w:ascii="Arial" w:eastAsia="Calibri" w:hAnsi="Arial" w:cs="Arial"/>
          <w:sz w:val="22"/>
          <w:szCs w:val="22"/>
          <w:lang w:val="en-US" w:eastAsia="en-US"/>
        </w:rPr>
        <w:t>energy efficiency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level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1 is for </w:t>
      </w:r>
      <w:r w:rsidR="000F3294" w:rsidRPr="00664F23">
        <w:rPr>
          <w:rFonts w:ascii="Arial" w:eastAsia="Calibri" w:hAnsi="Arial" w:cs="Arial"/>
          <w:sz w:val="22"/>
          <w:szCs w:val="22"/>
          <w:lang w:val="en-US" w:eastAsia="en-US"/>
        </w:rPr>
        <w:t>basic energy performance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;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level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2 is for </w:t>
      </w:r>
      <w:r w:rsidR="003D532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high </w:t>
      </w:r>
      <w:r w:rsidR="000F3294" w:rsidRPr="00664F23">
        <w:rPr>
          <w:rFonts w:ascii="Arial" w:eastAsia="Calibri" w:hAnsi="Arial" w:cs="Arial"/>
          <w:sz w:val="22"/>
          <w:szCs w:val="22"/>
          <w:lang w:val="en-US" w:eastAsia="en-US"/>
        </w:rPr>
        <w:t>energy yield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transformers having a power rating not included in these tables, the value of </w:t>
      </w:r>
      <w:r w:rsidR="00F32FC4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losses </w:t>
      </w:r>
      <w:proofErr w:type="gramStart"/>
      <w:r w:rsidR="00D34CA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should be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linearly interpolated</w:t>
      </w:r>
      <w:proofErr w:type="gramEnd"/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between the figures </w:t>
      </w:r>
      <w:r w:rsidR="00D34CA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nearest </w:t>
      </w:r>
      <w:r w:rsidR="00D34CA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higher and lower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power ratings:</w:t>
      </w:r>
    </w:p>
    <w:p w:rsidR="00917D21" w:rsidRPr="00664F23" w:rsidRDefault="00917D21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6.2 Liquid immersed transformers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For all tables,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 </w:t>
      </w:r>
      <w:r w:rsidR="00C35FC4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voltage-free regulation </w:t>
      </w:r>
      <w:r w:rsidR="008866E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range of </w:t>
      </w:r>
      <w:r w:rsidR="002B6B5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less than or equal to </w:t>
      </w:r>
      <w:r w:rsidR="00456E66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± 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5%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is considered</w:t>
      </w:r>
      <w:r w:rsidR="001C36AD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</w:p>
    <w:p w:rsidR="00A124C6" w:rsidRPr="00664F23" w:rsidRDefault="00A124C6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Table </w:t>
      </w:r>
      <w:r w:rsidR="00C522BB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1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- </w:t>
      </w:r>
      <w:r w:rsidR="00963AD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Maximum losses due to load and maximum no-load losses for three-phase transformers with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U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m</w:t>
      </w:r>
      <w:r w:rsidR="00963AD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</w:t>
      </w:r>
      <w:r w:rsidR="001F2D01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to </w:t>
      </w:r>
      <w:r w:rsidR="00963AD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14.5 kV, </w:t>
      </w:r>
      <w:r w:rsidR="00963AD0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</w:t>
      </w:r>
      <w:r w:rsidR="00963AD0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r</w:t>
      </w:r>
      <w:r w:rsidR="00963AD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to 2500 kVA and with rated frequency equal to 50 Hz.</w:t>
      </w:r>
    </w:p>
    <w:tbl>
      <w:tblPr>
        <w:tblW w:w="6843" w:type="dxa"/>
        <w:tblInd w:w="1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19"/>
        <w:gridCol w:w="1364"/>
        <w:gridCol w:w="1200"/>
        <w:gridCol w:w="1200"/>
      </w:tblGrid>
      <w:tr w:rsidR="00963AD0" w:rsidRPr="00963AD0" w:rsidTr="003D532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Power rating 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2</w:t>
            </w:r>
          </w:p>
        </w:tc>
      </w:tr>
      <w:tr w:rsidR="00963AD0" w:rsidRPr="00963AD0" w:rsidTr="003D532B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S</w:t>
            </w: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</w:tr>
      <w:tr w:rsidR="00963AD0" w:rsidRPr="00963AD0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(kVA)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166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166DA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1050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972F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972FB6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1280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1660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2370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2850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3320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4250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4040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4750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5700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1450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7250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166DAF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1750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8750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8300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1250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2300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13800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13100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2700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17000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16100</w:t>
            </w:r>
          </w:p>
        </w:tc>
      </w:tr>
      <w:tr w:rsidR="00963AD0" w:rsidRPr="00963AD0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20400</w:t>
            </w:r>
          </w:p>
        </w:tc>
      </w:tr>
      <w:tr w:rsidR="00963AD0" w:rsidRPr="00963AD0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3300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963AD0">
              <w:rPr>
                <w:rFonts w:ascii="Arial" w:hAnsi="Arial" w:cs="Arial"/>
                <w:color w:val="000000"/>
                <w:sz w:val="22"/>
                <w:szCs w:val="22"/>
              </w:rPr>
              <w:t>23600</w:t>
            </w:r>
          </w:p>
        </w:tc>
      </w:tr>
    </w:tbl>
    <w:p w:rsidR="008617C4" w:rsidRDefault="008617C4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7B10B0" w:rsidRDefault="007B10B0" w:rsidP="00C35FC4">
      <w:pPr>
        <w:widowControl/>
        <w:spacing w:after="160"/>
        <w:ind w:right="139"/>
        <w:rPr>
          <w:rFonts w:ascii="Arial" w:eastAsia="Arial" w:hAnsi="Arial" w:cs="Arial"/>
          <w:spacing w:val="4"/>
          <w:sz w:val="18"/>
          <w:szCs w:val="18"/>
          <w:lang w:val="en-US" w:eastAsia="en-US" w:bidi="en-US"/>
        </w:rPr>
      </w:pP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strike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Table 2</w:t>
      </w:r>
      <w:r w:rsidR="007902DF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.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Maximum losses due to load and maximum no-load losses for single-phase transformers with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U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m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</w:t>
      </w:r>
      <w:r w:rsidR="007902DF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to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14.5 kV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r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to 100 kVA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and with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rated frequency equal to 50 Hz.</w:t>
      </w:r>
    </w:p>
    <w:tbl>
      <w:tblPr>
        <w:tblW w:w="7230" w:type="dxa"/>
        <w:tblInd w:w="14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25"/>
        <w:gridCol w:w="1275"/>
        <w:gridCol w:w="1452"/>
        <w:gridCol w:w="1418"/>
      </w:tblGrid>
      <w:tr w:rsidR="00963AD0" w:rsidRPr="00586DA8" w:rsidTr="00963AD0">
        <w:trPr>
          <w:trHeight w:val="36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Power rating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1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2</w:t>
            </w:r>
          </w:p>
        </w:tc>
      </w:tr>
      <w:tr w:rsidR="00963AD0" w:rsidRPr="00586DA8" w:rsidTr="00963AD0">
        <w:trPr>
          <w:trHeight w:val="36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bookmarkStart w:id="1" w:name="OLE_LINK2" w:colFirst="1" w:colLast="5"/>
            <w:bookmarkStart w:id="2" w:name="OLE_LINK3" w:colFirst="1" w:colLast="5"/>
            <w:bookmarkStart w:id="3" w:name="OLE_LINK4" w:colFirst="1" w:colLast="5"/>
            <w:r w:rsidRPr="00586DA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S</w:t>
            </w: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r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</w:tr>
      <w:bookmarkEnd w:id="1"/>
      <w:bookmarkEnd w:id="2"/>
      <w:bookmarkEnd w:id="3"/>
      <w:tr w:rsidR="00963AD0" w:rsidRPr="00586DA8" w:rsidTr="00963AD0">
        <w:trPr>
          <w:trHeight w:val="3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(kVA)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</w:tr>
      <w:tr w:rsidR="00963AD0" w:rsidRPr="00586DA8" w:rsidTr="00963AD0">
        <w:trPr>
          <w:trHeight w:val="36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586DA8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63AD0" w:rsidRPr="00586DA8" w:rsidTr="00963A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63AD0" w:rsidRPr="00586DA8" w:rsidTr="00963A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963AD0" w:rsidRPr="00586DA8" w:rsidTr="00963A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570</w:t>
            </w:r>
          </w:p>
        </w:tc>
      </w:tr>
      <w:tr w:rsidR="00963AD0" w:rsidRPr="00586DA8" w:rsidTr="00963A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900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902DF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</w:tr>
      <w:tr w:rsidR="00963AD0" w:rsidRPr="00FF6CEC" w:rsidTr="00963AD0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F63D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382C82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664FB3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1150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902DF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FF6CEC">
              <w:rPr>
                <w:rFonts w:ascii="Arial" w:hAnsi="Arial" w:cs="Arial"/>
                <w:color w:val="000000"/>
                <w:sz w:val="22"/>
                <w:szCs w:val="22"/>
              </w:rPr>
              <w:t>1100</w:t>
            </w:r>
          </w:p>
        </w:tc>
      </w:tr>
      <w:tr w:rsidR="00963AD0" w:rsidRPr="00FF6CEC" w:rsidTr="00963AD0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B134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10153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F6CEC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FF6CEC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 xml:space="preserve">Table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 </w:t>
      </w: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- </w:t>
      </w:r>
      <w:r w:rsidR="00E3252D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Maximum losses due to load and maximum no-load losses for three-phase transformers with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U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m</w:t>
      </w:r>
      <w:r w:rsidR="00E3252D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greater than 14.5 kV and less than or equal to </w:t>
      </w:r>
      <w:r w:rsidR="00715927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36 </w:t>
      </w:r>
      <w:r w:rsidR="00E3252D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kV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r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to 2500 kVA and </w:t>
      </w:r>
      <w:r w:rsidR="00E3252D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with rated frequency equal to 50 Hz.</w:t>
      </w:r>
    </w:p>
    <w:p w:rsidR="00FF6CEC" w:rsidRPr="00664F23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6843" w:type="dxa"/>
        <w:tblInd w:w="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119"/>
        <w:gridCol w:w="1364"/>
        <w:gridCol w:w="1200"/>
        <w:gridCol w:w="1200"/>
      </w:tblGrid>
      <w:tr w:rsidR="00E3252D" w:rsidRPr="00E3252D" w:rsidTr="003D532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Power rating </w:t>
            </w:r>
          </w:p>
        </w:tc>
        <w:tc>
          <w:tcPr>
            <w:tcW w:w="24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2</w:t>
            </w:r>
          </w:p>
        </w:tc>
      </w:tr>
      <w:tr w:rsidR="00E3252D" w:rsidRPr="00E3252D" w:rsidTr="003D532B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S</w:t>
            </w: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r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</w:tr>
      <w:tr w:rsidR="00E3252D" w:rsidRPr="00E3252D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(kVA)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00269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620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00269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1420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420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00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2650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00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3800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4800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0026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5600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5300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1250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6100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7600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7200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800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1800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9800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9300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11700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11100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1250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14200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13500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2900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17800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</w:rPr>
              <w:t>16900</w:t>
            </w:r>
          </w:p>
        </w:tc>
      </w:tr>
      <w:tr w:rsidR="00E3252D" w:rsidRPr="00E3252D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3200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B434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21000</w:t>
            </w:r>
          </w:p>
        </w:tc>
      </w:tr>
      <w:tr w:rsidR="00E3252D" w:rsidRPr="00E3252D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3600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 w:rsidRPr="00E3252D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7863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B434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25000</w:t>
            </w:r>
          </w:p>
        </w:tc>
      </w:tr>
    </w:tbl>
    <w:p w:rsidR="00FF6CEC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FF6CEC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s-ES" w:eastAsia="en-US"/>
        </w:rPr>
      </w:pP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Table </w:t>
      </w:r>
      <w:proofErr w:type="gramStart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4</w:t>
      </w:r>
      <w:proofErr w:type="gramEnd"/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- </w:t>
      </w:r>
      <w:r w:rsidR="0032284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Maximum losses due to load and maximum no-load losses for single-phase transformers with </w:t>
      </w:r>
      <w:r w:rsidR="00322840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U</w:t>
      </w:r>
      <w:r w:rsidR="00322840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m</w:t>
      </w:r>
      <w:r w:rsidR="0032284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greater than 14.5 kV 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and </w:t>
      </w:r>
      <w:r w:rsidR="0032284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less than or equal to </w:t>
      </w:r>
      <w:r w:rsidR="00715927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36 </w:t>
      </w:r>
      <w:r w:rsidR="0032284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kV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r w:rsidR="003414B3" w:rsidRPr="00664F23">
        <w:rPr>
          <w:rFonts w:ascii="Arial" w:eastAsia="Calibri" w:hAnsi="Arial" w:cs="Arial"/>
          <w:b/>
          <w:i/>
          <w:sz w:val="22"/>
          <w:szCs w:val="22"/>
          <w:lang w:val="en-US" w:eastAsia="en-US"/>
        </w:rPr>
        <w:t>S</w:t>
      </w:r>
      <w:r w:rsidR="003414B3" w:rsidRPr="00664F23">
        <w:rPr>
          <w:rFonts w:ascii="Arial" w:eastAsia="Calibri" w:hAnsi="Arial" w:cs="Arial"/>
          <w:b/>
          <w:sz w:val="22"/>
          <w:szCs w:val="22"/>
          <w:vertAlign w:val="subscript"/>
          <w:lang w:val="en-US" w:eastAsia="en-US"/>
        </w:rPr>
        <w:t>r</w:t>
      </w:r>
      <w:r w:rsidR="003414B3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less than or equal to 25 kVA </w:t>
      </w:r>
      <w:r w:rsidR="00322840"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t>and with rated frequency equal to 50 Hz.</w:t>
      </w:r>
    </w:p>
    <w:p w:rsidR="00FF6CEC" w:rsidRPr="00664F23" w:rsidRDefault="00FF6CEC" w:rsidP="00A65B5C">
      <w:pPr>
        <w:widowControl/>
        <w:spacing w:after="160"/>
        <w:ind w:right="139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</w:p>
    <w:tbl>
      <w:tblPr>
        <w:tblW w:w="6760" w:type="dxa"/>
        <w:tblInd w:w="1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85"/>
        <w:gridCol w:w="1115"/>
        <w:gridCol w:w="1200"/>
        <w:gridCol w:w="1200"/>
      </w:tblGrid>
      <w:tr w:rsidR="003414B3" w:rsidRPr="00AD21EC" w:rsidTr="003D532B">
        <w:trPr>
          <w:trHeight w:val="30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Power rating 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1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Level 2</w:t>
            </w:r>
          </w:p>
        </w:tc>
      </w:tr>
      <w:tr w:rsidR="003414B3" w:rsidRPr="00AD21EC" w:rsidTr="003D532B">
        <w:trPr>
          <w:trHeight w:val="330"/>
        </w:trPr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S</w:t>
            </w: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r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" w:eastAsia="es-AR"/>
              </w:rPr>
              <w:t>P</w:t>
            </w: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bscript"/>
                <w:lang w:val="es-ES" w:eastAsia="es-AR"/>
              </w:rPr>
              <w:t>k</w:t>
            </w:r>
          </w:p>
        </w:tc>
      </w:tr>
      <w:tr w:rsidR="003414B3" w:rsidRPr="00AD21EC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(kVA)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AD21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>(W)</w:t>
            </w:r>
          </w:p>
        </w:tc>
      </w:tr>
      <w:tr w:rsidR="003414B3" w:rsidRPr="00AD21EC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3414B3" w:rsidRPr="00AD21EC" w:rsidTr="003D532B">
        <w:trPr>
          <w:trHeight w:val="30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</w:tr>
      <w:tr w:rsidR="003414B3" w:rsidRPr="00AD21EC" w:rsidTr="003D532B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660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3D292B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870" w:rsidRDefault="00812870">
            <w:pPr>
              <w:widowControl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</w:tr>
    </w:tbl>
    <w:p w:rsidR="00FF6CEC" w:rsidRDefault="00FF6CEC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812870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7 </w:t>
      </w:r>
      <w:r w:rsidR="001C36AD" w:rsidRPr="001C36AD">
        <w:rPr>
          <w:rFonts w:ascii="Arial" w:eastAsia="Calibri" w:hAnsi="Arial" w:cs="Arial"/>
          <w:b/>
          <w:sz w:val="22"/>
          <w:szCs w:val="22"/>
          <w:lang w:val="es-ES" w:eastAsia="en-US"/>
        </w:rPr>
        <w:t>Tolerance</w:t>
      </w:r>
    </w:p>
    <w:p w:rsidR="00812870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1C36AD">
        <w:rPr>
          <w:rFonts w:ascii="Arial" w:eastAsia="Calibri" w:hAnsi="Arial" w:cs="Arial"/>
          <w:b/>
          <w:sz w:val="22"/>
          <w:szCs w:val="22"/>
          <w:lang w:val="es-ES" w:eastAsia="en-US"/>
        </w:rPr>
        <w:t>7.1 General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The maximum losses in the tables do not </w:t>
      </w:r>
      <w:r w:rsidR="00B679BA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include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tolerances </w:t>
      </w:r>
      <w:r w:rsidR="00B679BA" w:rsidRPr="00664F23">
        <w:rPr>
          <w:rFonts w:ascii="Arial" w:eastAsia="Calibri" w:hAnsi="Arial" w:cs="Arial"/>
          <w:sz w:val="22"/>
          <w:szCs w:val="22"/>
          <w:lang w:val="en-US" w:eastAsia="en-US"/>
        </w:rPr>
        <w:t>with respect to energy efficiency levels.</w:t>
      </w:r>
    </w:p>
    <w:p w:rsidR="005678EB" w:rsidRPr="00664F23" w:rsidRDefault="005678EB" w:rsidP="005A38D4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lastRenderedPageBreak/>
        <w:t>7.2 Losses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The measured values of the losses </w:t>
      </w:r>
      <w:r w:rsidR="005678E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due to the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load </w:t>
      </w:r>
      <w:r w:rsidR="00FA3B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referred to the reference temperature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and the </w:t>
      </w:r>
      <w:r w:rsidR="00FA3B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measured values of the </w:t>
      </w:r>
      <w:r w:rsidR="005678EB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no-load </w:t>
      </w:r>
      <w:r w:rsidR="00FA3B71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losses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must not be greater than the </w:t>
      </w:r>
      <w:r w:rsidR="007811D0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corresponding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value indica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ted in the tables.</w:t>
      </w:r>
    </w:p>
    <w:p w:rsidR="00812870" w:rsidRPr="00664F23" w:rsidRDefault="003D292B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- If the agreed value of any guaranteed loss is less than the 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corresponding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value 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the table, then the tolerances stated in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IEC 60076-1 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may be used for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>the purpose of acceptance or rejection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gramStart"/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>provided that</w:t>
      </w:r>
      <w:proofErr w:type="gramEnd"/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 the corresponding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value 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given </w:t>
      </w:r>
      <w:r w:rsidRPr="00664F23">
        <w:rPr>
          <w:rFonts w:ascii="Arial" w:eastAsia="Calibri" w:hAnsi="Arial" w:cs="Arial"/>
          <w:sz w:val="22"/>
          <w:szCs w:val="22"/>
          <w:lang w:val="en-US" w:eastAsia="en-US"/>
        </w:rPr>
        <w:t xml:space="preserve">in the </w:t>
      </w:r>
      <w:r w:rsidR="00B00C07" w:rsidRPr="00664F23">
        <w:rPr>
          <w:rFonts w:ascii="Arial" w:eastAsia="Calibri" w:hAnsi="Arial" w:cs="Arial"/>
          <w:sz w:val="22"/>
          <w:szCs w:val="22"/>
          <w:lang w:val="en-US" w:eastAsia="en-US"/>
        </w:rPr>
        <w:t>tables is not exceeded.</w:t>
      </w:r>
    </w:p>
    <w:p w:rsidR="00EA293C" w:rsidRPr="00664F23" w:rsidRDefault="00EA293C" w:rsidP="005A38D4">
      <w:pPr>
        <w:widowControl/>
        <w:spacing w:after="160"/>
        <w:ind w:right="139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color w:val="3333FF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sz w:val="22"/>
          <w:szCs w:val="22"/>
          <w:lang w:val="en-US" w:eastAsia="en-US"/>
        </w:rPr>
        <w:br w:type="page"/>
      </w:r>
      <w:r w:rsidRPr="00664F23">
        <w:rPr>
          <w:rFonts w:ascii="Arial" w:eastAsia="Calibri" w:hAnsi="Arial" w:cs="Arial"/>
          <w:b/>
          <w:color w:val="3333FF"/>
          <w:sz w:val="22"/>
          <w:szCs w:val="22"/>
          <w:lang w:val="en-US" w:eastAsia="en-US"/>
        </w:rPr>
        <w:lastRenderedPageBreak/>
        <w:t xml:space="preserve">ANNEX A </w:t>
      </w:r>
      <w:r w:rsidRPr="00664F23">
        <w:rPr>
          <w:rFonts w:ascii="Arial" w:eastAsia="Calibri" w:hAnsi="Arial" w:cs="Arial"/>
          <w:b/>
          <w:color w:val="3333FF"/>
          <w:sz w:val="22"/>
          <w:szCs w:val="22"/>
          <w:lang w:val="en-US" w:eastAsia="en-US"/>
        </w:rPr>
        <w:br/>
        <w:t>(Regulatory)</w:t>
      </w:r>
    </w:p>
    <w:p w:rsidR="00812870" w:rsidRPr="00664F23" w:rsidRDefault="003D292B">
      <w:pPr>
        <w:widowControl/>
        <w:spacing w:after="160"/>
        <w:ind w:right="139"/>
        <w:jc w:val="center"/>
        <w:rPr>
          <w:rFonts w:ascii="Arial" w:eastAsia="Calibri" w:hAnsi="Arial" w:cs="Arial"/>
          <w:b/>
          <w:color w:val="3333FF"/>
          <w:sz w:val="22"/>
          <w:szCs w:val="22"/>
          <w:lang w:val="en-US" w:eastAsia="en-US"/>
        </w:rPr>
      </w:pPr>
      <w:r w:rsidRPr="00664F23">
        <w:rPr>
          <w:rFonts w:ascii="Arial" w:eastAsia="Calibri" w:hAnsi="Arial" w:cs="Arial"/>
          <w:b/>
          <w:color w:val="3333FF"/>
          <w:sz w:val="22"/>
          <w:szCs w:val="22"/>
          <w:lang w:val="en-US" w:eastAsia="en-US"/>
        </w:rPr>
        <w:t>National deviations applicable to Mexico</w:t>
      </w:r>
    </w:p>
    <w:p w:rsidR="000C18AD" w:rsidRPr="00664F23" w:rsidRDefault="000C18AD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ind w:right="139"/>
        <w:rPr>
          <w:rFonts w:ascii="Arial" w:eastAsia="Calibri" w:hAnsi="Arial" w:cs="Arial"/>
          <w:color w:val="3333FF"/>
          <w:lang w:val="en-US" w:eastAsia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>Proposed transformer efficiency and loss tables at a frequency of 60 Hz.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>Method B: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jc w:val="center"/>
        <w:rPr>
          <w:rFonts w:ascii="Arial" w:hAnsi="Arial" w:cs="Arial"/>
          <w:i/>
          <w:color w:val="3333FF"/>
          <w:lang w:val="en-US"/>
        </w:rPr>
      </w:pPr>
      <m:oMathPara>
        <m:oMath>
          <m:r>
            <m:rPr>
              <m:nor/>
            </m:rPr>
            <w:rPr>
              <w:rFonts w:ascii="Arial" w:hAnsi="Arial" w:cs="Arial"/>
              <w:i/>
              <w:color w:val="000000"/>
            </w:rPr>
            <m:t>η</m:t>
          </m:r>
          <m:r>
            <m:rPr>
              <m:nor/>
            </m:rPr>
            <w:rPr>
              <w:rFonts w:ascii="Arial" w:hAnsi="Arial" w:cs="Arial"/>
              <w:i/>
              <w:color w:val="000000"/>
              <w:lang w:val="en-US"/>
            </w:rPr>
            <m:t>=</m:t>
          </m:r>
          <m:r>
            <w:rPr>
              <w:rFonts w:ascii="Cambria Math" w:hAnsi="Cambria Math" w:cs="Arial"/>
              <w:color w:val="000000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S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S+L</m:t>
              </m:r>
            </m:den>
          </m:f>
        </m:oMath>
      </m:oMathPara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>Where: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</w:r>
      <w:proofErr w:type="gramStart"/>
      <w:r w:rsidRPr="00664F23">
        <w:rPr>
          <w:rFonts w:ascii="Arial" w:hAnsi="Arial" w:cs="Arial"/>
          <w:color w:val="3333FF"/>
          <w:lang w:val="en-US"/>
        </w:rPr>
        <w:t>Ses</w:t>
      </w:r>
      <w:proofErr w:type="gramEnd"/>
      <w:r w:rsidRPr="00664F23">
        <w:rPr>
          <w:rFonts w:ascii="Arial" w:hAnsi="Arial" w:cs="Arial"/>
          <w:color w:val="3333FF"/>
          <w:lang w:val="en-US"/>
        </w:rPr>
        <w:t xml:space="preserve"> the apparent power output.</w:t>
      </w: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</w:r>
      <w:r w:rsidRPr="00664F23">
        <w:rPr>
          <w:rFonts w:ascii="Arial" w:hAnsi="Arial" w:cs="Arial"/>
          <w:color w:val="3333FF"/>
          <w:lang w:val="en-US"/>
        </w:rPr>
        <w:t>Les the sum of no-load losses and losses due to load.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 xml:space="preserve">For the determination of the efficiency, no-load losses and losses due to load referred to a </w:t>
      </w:r>
      <w:r w:rsidRPr="00664F23">
        <w:rPr>
          <w:rFonts w:ascii="Arial" w:hAnsi="Arial" w:cs="Arial"/>
          <w:color w:val="3333FF"/>
          <w:lang w:val="en-US"/>
        </w:rPr>
        <w:t xml:space="preserve">load factor of 80 % derived from the measurement of losses at 100 % load and corrected to 85 °C and a unity </w:t>
      </w:r>
      <w:r w:rsidRPr="00664F23">
        <w:rPr>
          <w:rFonts w:ascii="Arial" w:hAnsi="Arial" w:cs="Arial"/>
          <w:color w:val="3333FF"/>
          <w:lang w:val="en-US"/>
        </w:rPr>
        <w:t xml:space="preserve">power factor according to the following equation </w:t>
      </w:r>
      <w:r w:rsidRPr="00664F23">
        <w:rPr>
          <w:rFonts w:ascii="Arial" w:hAnsi="Arial" w:cs="Arial"/>
          <w:color w:val="3333FF"/>
          <w:lang w:val="en-US"/>
        </w:rPr>
        <w:t>must be considered: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jc w:val="center"/>
        <w:rPr>
          <w:rFonts w:ascii="Arial" w:hAnsi="Arial" w:cs="Arial"/>
          <w:i/>
          <w:color w:val="3333FF"/>
          <w:lang w:val="en-US"/>
        </w:rPr>
      </w:pPr>
      <m:oMathPara>
        <m:oMath>
          <m:r>
            <m:rPr>
              <m:nor/>
            </m:rPr>
            <w:rPr>
              <w:rFonts w:ascii="Arial" w:hAnsi="Arial" w:cs="Arial"/>
              <w:i/>
              <w:color w:val="000000"/>
            </w:rPr>
            <m:t>η</m:t>
          </m:r>
          <m:r>
            <m:rPr>
              <m:nor/>
            </m:rPr>
            <w:rPr>
              <w:rFonts w:ascii="Arial" w:hAnsi="Arial" w:cs="Arial"/>
              <w:i/>
              <w:color w:val="000000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  <w:color w:val="000000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100 ×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(P ×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kVA ×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1 000)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m:t xml:space="preserve"> P ×</m:t>
                  </m:r>
                  <m:r>
                    <m:rPr>
                      <m:nor/>
                    </m:rPr>
                    <w:rPr>
                      <w:rFonts w:ascii="Cambria Math" w:cs="Arial"/>
                      <w:i/>
                      <w:color w:val="00000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m:t>kVA ×</m:t>
                  </m:r>
                  <m:r>
                    <m:rPr>
                      <m:nor/>
                    </m:rPr>
                    <w:rPr>
                      <w:rFonts w:ascii="Cambria Math" w:cs="Arial"/>
                      <w:i/>
                      <w:color w:val="000000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m:t>1 000</m:t>
                  </m:r>
                </m:e>
              </m:d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+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NL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+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 xml:space="preserve">(LL ×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m:t>P</m:t>
                  </m:r>
                </m:e>
                <m:sup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000000"/>
                      <w:lang w:val="en-US"/>
                    </w:rPr>
                    <m:t>2</m:t>
                  </m:r>
                </m:sup>
              </m:sSup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 xml:space="preserve"> ×</m:t>
              </m:r>
              <m:r>
                <m:rPr>
                  <m:nor/>
                </m:rPr>
                <w:rPr>
                  <w:rFonts w:ascii="Cambria Math" w:cs="Arial"/>
                  <w:i/>
                  <w:color w:val="000000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000000"/>
                  <w:lang w:val="en-US"/>
                </w:rPr>
                <m:t>T)</m:t>
              </m:r>
            </m:den>
          </m:f>
        </m:oMath>
      </m:oMathPara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>Where: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>Pes the unit load (0.8).</w:t>
      </w: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</w:r>
      <w:proofErr w:type="gramStart"/>
      <w:r w:rsidRPr="00664F23">
        <w:rPr>
          <w:rFonts w:ascii="Arial" w:hAnsi="Arial" w:cs="Arial"/>
          <w:color w:val="3333FF"/>
          <w:lang w:val="en-US"/>
        </w:rPr>
        <w:t>kVAis</w:t>
      </w:r>
      <w:proofErr w:type="gramEnd"/>
      <w:r w:rsidRPr="00664F23">
        <w:rPr>
          <w:rFonts w:ascii="Arial" w:hAnsi="Arial" w:cs="Arial"/>
          <w:color w:val="3333FF"/>
          <w:lang w:val="en-US"/>
        </w:rPr>
        <w:t xml:space="preserve"> </w:t>
      </w:r>
      <w:r w:rsidRPr="00664F23">
        <w:rPr>
          <w:rFonts w:ascii="Arial" w:hAnsi="Arial" w:cs="Arial"/>
          <w:color w:val="3333FF"/>
          <w:lang w:val="en-US"/>
        </w:rPr>
        <w:tab/>
        <w:t>the rated capacity in kVA.</w:t>
      </w: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 xml:space="preserve">NLson </w:t>
      </w:r>
      <w:r w:rsidRPr="00664F23">
        <w:rPr>
          <w:rFonts w:ascii="Arial" w:hAnsi="Arial" w:cs="Arial"/>
          <w:color w:val="3333FF"/>
          <w:lang w:val="en-US"/>
        </w:rPr>
        <w:tab/>
      </w:r>
      <w:r w:rsidRPr="00664F23">
        <w:rPr>
          <w:rFonts w:ascii="Arial" w:hAnsi="Arial" w:cs="Arial"/>
          <w:color w:val="3333FF"/>
          <w:lang w:val="en-US"/>
        </w:rPr>
        <w:t>the no-load losses at room temperature in W.</w:t>
      </w: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 xml:space="preserve">LLson </w:t>
      </w:r>
      <w:r w:rsidRPr="00664F23">
        <w:rPr>
          <w:rFonts w:ascii="Arial" w:hAnsi="Arial" w:cs="Arial"/>
          <w:color w:val="3333FF"/>
          <w:lang w:val="en-US"/>
        </w:rPr>
        <w:tab/>
        <w:t>the losses due to the load at the reference temperature (85 °C) W.</w:t>
      </w:r>
    </w:p>
    <w:p w:rsidR="00812870" w:rsidRPr="00664F23" w:rsidRDefault="003D292B">
      <w:pPr>
        <w:rPr>
          <w:rFonts w:ascii="Arial" w:hAnsi="Arial" w:cs="Arial"/>
          <w:color w:val="3333FF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  <w:t>Tes the correction factor for pressure drop at 70 °C (0.953 332)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ind w:left="1134" w:hanging="1134"/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The rated capacity (</w:t>
      </w:r>
      <w:proofErr w:type="gramStart"/>
      <w:r w:rsidRPr="00664F23">
        <w:rPr>
          <w:rFonts w:ascii="Arial" w:hAnsi="Arial" w:cs="Arial"/>
          <w:color w:val="3333FF"/>
          <w:sz w:val="16"/>
          <w:szCs w:val="16"/>
          <w:lang w:val="en-US"/>
        </w:rPr>
        <w:t>volt ampere</w:t>
      </w:r>
      <w:proofErr w:type="gramEnd"/>
      <w:r w:rsidRPr="00664F23">
        <w:rPr>
          <w:rFonts w:ascii="Arial" w:hAnsi="Arial" w:cs="Arial"/>
          <w:color w:val="3333FF"/>
          <w:sz w:val="16"/>
          <w:szCs w:val="16"/>
          <w:lang w:val="en-US"/>
        </w:rPr>
        <w:t>) must be a function of the vol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tage, frequency and rated electrical current values used for the calculation of losses and considering a unity power factor.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jc w:val="center"/>
        <w:rPr>
          <w:rFonts w:ascii="Arial" w:hAnsi="Arial" w:cs="Arial"/>
          <w:b/>
          <w:color w:val="3333FF"/>
          <w:lang w:val="en-US"/>
        </w:rPr>
      </w:pPr>
      <w:r w:rsidRPr="00664F23">
        <w:rPr>
          <w:rFonts w:ascii="Arial" w:hAnsi="Arial" w:cs="Arial"/>
          <w:b/>
          <w:color w:val="3333FF"/>
          <w:lang w:val="en-US"/>
        </w:rPr>
        <w:t>Table 1 - Minimum efficiencies referred to a load factor of 80% for distribution transformers at a frequency of 60 Hz.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2"/>
        <w:gridCol w:w="1606"/>
        <w:gridCol w:w="1906"/>
        <w:gridCol w:w="2218"/>
        <w:gridCol w:w="1958"/>
      </w:tblGrid>
      <w:tr w:rsidR="00CB5A3D" w:rsidRPr="0076216A" w:rsidTr="0051643B"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Type of p</w:t>
            </w:r>
            <w:r w:rsidRPr="0076216A">
              <w:rPr>
                <w:rFonts w:ascii="Arial" w:hAnsi="Arial" w:cs="Arial"/>
                <w:b/>
                <w:color w:val="3333FF"/>
              </w:rPr>
              <w:t>ower supply</w:t>
            </w:r>
          </w:p>
        </w:tc>
        <w:tc>
          <w:tcPr>
            <w:tcW w:w="162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Capacity in kVA</w:t>
            </w:r>
          </w:p>
        </w:tc>
        <w:tc>
          <w:tcPr>
            <w:tcW w:w="616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 xml:space="preserve">Basic </w:t>
            </w:r>
            <w:r w:rsidR="00CB76EB" w:rsidRPr="0076216A">
              <w:rPr>
                <w:rFonts w:ascii="Arial" w:hAnsi="Arial" w:cs="Arial"/>
                <w:b/>
                <w:color w:val="3333FF"/>
              </w:rPr>
              <w:t>insulation</w:t>
            </w:r>
            <w:r w:rsidRPr="0076216A">
              <w:rPr>
                <w:rFonts w:ascii="Arial" w:hAnsi="Arial" w:cs="Arial"/>
                <w:b/>
                <w:color w:val="3333FF"/>
              </w:rPr>
              <w:t xml:space="preserve"> level 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jc w:val="center"/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162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jc w:val="center"/>
              <w:rPr>
                <w:rFonts w:ascii="Arial" w:hAnsi="Arial" w:cs="Arial"/>
                <w:b/>
                <w:color w:val="3333FF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Up to 95</w:t>
            </w:r>
          </w:p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(Class 15 kV)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</w:tcPr>
          <w:p w:rsidR="00812870" w:rsidRPr="00664F23" w:rsidRDefault="003D292B">
            <w:pPr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664F23">
              <w:rPr>
                <w:rFonts w:ascii="Arial" w:hAnsi="Arial" w:cs="Arial"/>
                <w:b/>
                <w:color w:val="3333FF"/>
                <w:lang w:val="en-US"/>
              </w:rPr>
              <w:t>Up to 150</w:t>
            </w:r>
          </w:p>
          <w:p w:rsidR="00812870" w:rsidRPr="00664F23" w:rsidRDefault="003D292B">
            <w:pPr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664F23">
              <w:rPr>
                <w:rFonts w:ascii="Arial" w:hAnsi="Arial" w:cs="Arial"/>
                <w:b/>
                <w:color w:val="3333FF"/>
                <w:lang w:val="en-US"/>
              </w:rPr>
              <w:t>(Class 18 kV and 25 kV)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Up to 200</w:t>
            </w:r>
          </w:p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(Class 34.5 kV)</w:t>
            </w:r>
          </w:p>
        </w:tc>
      </w:tr>
      <w:tr w:rsidR="00CB5A3D" w:rsidRPr="0076216A" w:rsidTr="0051643B">
        <w:tc>
          <w:tcPr>
            <w:tcW w:w="22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870" w:rsidRPr="00664F23" w:rsidRDefault="003D292B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  <w:r w:rsidRPr="00664F23">
              <w:rPr>
                <w:rFonts w:ascii="Arial" w:hAnsi="Arial" w:cs="Arial"/>
                <w:color w:val="3333FF"/>
                <w:lang w:val="pt-BR"/>
              </w:rPr>
              <w:t xml:space="preserve">M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o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n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o f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f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a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s s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i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>c</w:t>
            </w:r>
          </w:p>
        </w:tc>
        <w:tc>
          <w:tcPr>
            <w:tcW w:w="1627" w:type="dxa"/>
            <w:tcBorders>
              <w:top w:val="double" w:sz="4" w:space="0" w:color="auto"/>
            </w:tcBorders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98,61 %</w:t>
            </w:r>
          </w:p>
        </w:tc>
        <w:tc>
          <w:tcPr>
            <w:tcW w:w="2252" w:type="dxa"/>
            <w:tcBorders>
              <w:top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98,49 %</w:t>
            </w:r>
          </w:p>
        </w:tc>
        <w:tc>
          <w:tcPr>
            <w:tcW w:w="198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98,28 %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98,75 %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98,63 %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98,43 %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98.90 %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98,79 %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98.63 %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37,5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98,99 %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98,90 %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98,75 %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99,08 %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98,99 %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98,86 %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99,21 %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99,12 %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99,00 %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99,26 %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99,16 %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99,06 %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99,30 %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99,21 %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99,13 %</w:t>
            </w:r>
          </w:p>
        </w:tc>
      </w:tr>
      <w:tr w:rsidR="00CB5A3D" w:rsidRPr="0076216A" w:rsidTr="0051643B">
        <w:tc>
          <w:tcPr>
            <w:tcW w:w="223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 xml:space="preserve">T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r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i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f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a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s </w:t>
            </w:r>
            <w:r w:rsidRPr="0076216A">
              <w:rPr>
                <w:rFonts w:ascii="Arial" w:hAnsi="Arial" w:cs="Arial"/>
                <w:color w:val="3333FF"/>
              </w:rPr>
              <w:br/>
              <w:t xml:space="preserve">i </w:t>
            </w:r>
            <w:r w:rsidRPr="0076216A">
              <w:rPr>
                <w:rFonts w:ascii="Arial" w:hAnsi="Arial" w:cs="Arial"/>
                <w:color w:val="3333FF"/>
              </w:rPr>
              <w:br/>
              <w:t>c</w:t>
            </w: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98,32 %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98,18 %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98,03 %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98,62 %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98,50 %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98,35 %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45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98,72 %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98,60 %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98,48 %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98,86 %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98,75 %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98,64 %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112,5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98,95 %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98,85 %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98,76 %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99,03 %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98,94 %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98,86 %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225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99,06 %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98,96 %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98,87 %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99,11 %</w:t>
            </w:r>
          </w:p>
        </w:tc>
        <w:tc>
          <w:tcPr>
            <w:tcW w:w="225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99,02 %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98,92 %</w:t>
            </w:r>
          </w:p>
        </w:tc>
      </w:tr>
      <w:tr w:rsidR="00CB5A3D" w:rsidRPr="0076216A" w:rsidTr="0051643B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627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99,20 %</w:t>
            </w:r>
          </w:p>
        </w:tc>
        <w:tc>
          <w:tcPr>
            <w:tcW w:w="225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99,11 %</w:t>
            </w: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99,03 %</w:t>
            </w:r>
          </w:p>
        </w:tc>
      </w:tr>
    </w:tbl>
    <w:p w:rsidR="00CB5A3D" w:rsidRPr="0076216A" w:rsidRDefault="00CB5A3D" w:rsidP="00CB5A3D">
      <w:pPr>
        <w:rPr>
          <w:rFonts w:ascii="Arial" w:hAnsi="Arial" w:cs="Arial"/>
          <w:color w:val="3333FF"/>
        </w:rPr>
      </w:pPr>
    </w:p>
    <w:p w:rsidR="00812870" w:rsidRPr="00664F23" w:rsidRDefault="003D292B">
      <w:pPr>
        <w:ind w:left="1134" w:hanging="1134"/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lastRenderedPageBreak/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Distribution transformers with capacities intermediate to those listed in this table must comply with the efficiencies of the next higher capacity.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p w:rsidR="00812870" w:rsidRPr="00664F23" w:rsidRDefault="003D292B">
      <w:pPr>
        <w:jc w:val="center"/>
        <w:rPr>
          <w:rFonts w:ascii="Arial" w:hAnsi="Arial" w:cs="Arial"/>
          <w:b/>
          <w:color w:val="3333FF"/>
          <w:lang w:val="en-US"/>
        </w:rPr>
      </w:pPr>
      <w:r w:rsidRPr="00664F23">
        <w:rPr>
          <w:rFonts w:ascii="Arial" w:hAnsi="Arial" w:cs="Arial"/>
          <w:b/>
          <w:color w:val="3333FF"/>
          <w:lang w:val="en-US"/>
        </w:rPr>
        <w:t>Table 2 - Total losses in W, referred to a load factor of 80 % at a frequency of 60 Hz.</w:t>
      </w:r>
    </w:p>
    <w:p w:rsidR="00CB5A3D" w:rsidRPr="00664F23" w:rsidRDefault="00CB5A3D" w:rsidP="00CB5A3D">
      <w:pPr>
        <w:rPr>
          <w:rFonts w:ascii="Arial" w:hAnsi="Arial" w:cs="Arial"/>
          <w:color w:val="3333F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1931"/>
        <w:gridCol w:w="1932"/>
        <w:gridCol w:w="1932"/>
        <w:gridCol w:w="1932"/>
      </w:tblGrid>
      <w:tr w:rsidR="00CB5A3D" w:rsidRPr="00664F23" w:rsidTr="00151B82">
        <w:tc>
          <w:tcPr>
            <w:tcW w:w="19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Type of power supply</w:t>
            </w:r>
          </w:p>
        </w:tc>
        <w:tc>
          <w:tcPr>
            <w:tcW w:w="193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 xml:space="preserve">Capacity in kVA </w:t>
            </w:r>
          </w:p>
        </w:tc>
        <w:tc>
          <w:tcPr>
            <w:tcW w:w="579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Pr="00664F23" w:rsidRDefault="003D292B">
            <w:pPr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  <w:r w:rsidRPr="00664F23">
              <w:rPr>
                <w:rFonts w:ascii="Arial" w:hAnsi="Arial" w:cs="Arial"/>
                <w:b/>
                <w:color w:val="3333FF"/>
                <w:lang w:val="en-US"/>
              </w:rPr>
              <w:t>Basic impulse insulation level (kV)</w:t>
            </w:r>
          </w:p>
        </w:tc>
      </w:tr>
      <w:tr w:rsidR="00CB5A3D" w:rsidRPr="0076216A" w:rsidTr="00151B82">
        <w:tc>
          <w:tcPr>
            <w:tcW w:w="19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5A3D" w:rsidRPr="00664F23" w:rsidRDefault="00CB5A3D" w:rsidP="00151B82">
            <w:pPr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</w:p>
        </w:tc>
        <w:tc>
          <w:tcPr>
            <w:tcW w:w="193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B5A3D" w:rsidRPr="00664F23" w:rsidRDefault="00CB5A3D" w:rsidP="00151B82">
            <w:pPr>
              <w:jc w:val="center"/>
              <w:rPr>
                <w:rFonts w:ascii="Arial" w:hAnsi="Arial" w:cs="Arial"/>
                <w:b/>
                <w:color w:val="3333FF"/>
                <w:lang w:val="en-US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Up to 95</w:t>
            </w:r>
          </w:p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totals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Up to 150</w:t>
            </w:r>
          </w:p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Totals</w:t>
            </w:r>
          </w:p>
        </w:tc>
        <w:tc>
          <w:tcPr>
            <w:tcW w:w="19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Up to 200</w:t>
            </w:r>
          </w:p>
          <w:p w:rsidR="00812870" w:rsidRDefault="003D292B">
            <w:pPr>
              <w:jc w:val="center"/>
              <w:rPr>
                <w:rFonts w:ascii="Arial" w:hAnsi="Arial" w:cs="Arial"/>
                <w:b/>
                <w:color w:val="3333FF"/>
              </w:rPr>
            </w:pPr>
            <w:r w:rsidRPr="0076216A">
              <w:rPr>
                <w:rFonts w:ascii="Arial" w:hAnsi="Arial" w:cs="Arial"/>
                <w:b/>
                <w:color w:val="3333FF"/>
              </w:rPr>
              <w:t>Totals</w:t>
            </w:r>
          </w:p>
        </w:tc>
      </w:tr>
      <w:tr w:rsidR="00CB5A3D" w:rsidRPr="00664F23" w:rsidTr="00151B82">
        <w:tc>
          <w:tcPr>
            <w:tcW w:w="193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2870" w:rsidRPr="00664F23" w:rsidRDefault="003D292B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  <w:r w:rsidRPr="00664F23">
              <w:rPr>
                <w:rFonts w:ascii="Arial" w:hAnsi="Arial" w:cs="Arial"/>
                <w:color w:val="3333FF"/>
                <w:lang w:val="pt-BR"/>
              </w:rPr>
              <w:t xml:space="preserve">M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o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n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o f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f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a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s s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 xml:space="preserve">i </w:t>
            </w:r>
            <w:r w:rsidRPr="00664F23">
              <w:rPr>
                <w:rFonts w:ascii="Arial" w:hAnsi="Arial" w:cs="Arial"/>
                <w:color w:val="3333FF"/>
                <w:lang w:val="pt-BR"/>
              </w:rPr>
              <w:br/>
              <w:t>c</w:t>
            </w:r>
          </w:p>
        </w:tc>
        <w:tc>
          <w:tcPr>
            <w:tcW w:w="1931" w:type="dxa"/>
            <w:tcBorders>
              <w:top w:val="double" w:sz="4" w:space="0" w:color="auto"/>
            </w:tcBorders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</w:tr>
      <w:tr w:rsidR="00CB5A3D" w:rsidRPr="0076216A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664F23" w:rsidRDefault="00CB5A3D" w:rsidP="00151B82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Pr="00664F23" w:rsidRDefault="00812870">
            <w:pPr>
              <w:jc w:val="center"/>
              <w:rPr>
                <w:rFonts w:ascii="Arial" w:hAnsi="Arial" w:cs="Arial"/>
                <w:color w:val="3333FF"/>
                <w:lang w:val="pt-BR"/>
              </w:rPr>
            </w:pP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191</w:t>
            </w:r>
          </w:p>
        </w:tc>
      </w:tr>
      <w:tr w:rsidR="00CB5A3D" w:rsidRPr="0076216A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245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278</w:t>
            </w:r>
          </w:p>
        </w:tc>
      </w:tr>
      <w:tr w:rsidR="00CB5A3D" w:rsidRPr="0076216A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37,5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306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334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76216A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371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408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76216A">
              <w:rPr>
                <w:rFonts w:ascii="Arial" w:hAnsi="Arial" w:cs="Arial"/>
                <w:color w:val="3333FF"/>
              </w:rPr>
              <w:t>461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478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533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606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596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678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759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942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1 064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1 173</w:t>
            </w:r>
          </w:p>
        </w:tc>
      </w:tr>
      <w:tr w:rsidR="00CB5A3D" w:rsidRPr="00876E40" w:rsidTr="00151B82">
        <w:tc>
          <w:tcPr>
            <w:tcW w:w="193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 xml:space="preserve">T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r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i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f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a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s </w:t>
            </w:r>
            <w:r w:rsidRPr="00876E40">
              <w:rPr>
                <w:rFonts w:ascii="Arial" w:hAnsi="Arial" w:cs="Arial"/>
                <w:color w:val="3333FF"/>
              </w:rPr>
              <w:br/>
              <w:t xml:space="preserve">i </w:t>
            </w:r>
            <w:r w:rsidRPr="00876E40">
              <w:rPr>
                <w:rFonts w:ascii="Arial" w:hAnsi="Arial" w:cs="Arial"/>
                <w:color w:val="3333FF"/>
              </w:rPr>
              <w:br/>
              <w:t>c</w:t>
            </w: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205</w:t>
            </w:r>
          </w:p>
        </w:tc>
        <w:tc>
          <w:tcPr>
            <w:tcW w:w="1932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241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336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365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403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45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467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511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556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692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759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827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112,5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955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1 047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1 130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1 175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1 286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1 384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225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1 708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1 892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2 057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2 155</w:t>
            </w:r>
          </w:p>
        </w:tc>
        <w:tc>
          <w:tcPr>
            <w:tcW w:w="1932" w:type="dxa"/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2 375</w:t>
            </w:r>
          </w:p>
        </w:tc>
        <w:tc>
          <w:tcPr>
            <w:tcW w:w="1932" w:type="dxa"/>
            <w:tcBorders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2 620</w:t>
            </w:r>
          </w:p>
        </w:tc>
      </w:tr>
      <w:tr w:rsidR="00CB5A3D" w:rsidRPr="00876E40" w:rsidTr="00151B82">
        <w:tc>
          <w:tcPr>
            <w:tcW w:w="193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B5A3D" w:rsidRPr="00876E40" w:rsidRDefault="00CB5A3D" w:rsidP="00151B82">
            <w:pPr>
              <w:rPr>
                <w:rFonts w:ascii="Arial" w:hAnsi="Arial" w:cs="Arial"/>
                <w:color w:val="3333FF"/>
              </w:rPr>
            </w:pPr>
          </w:p>
        </w:tc>
        <w:tc>
          <w:tcPr>
            <w:tcW w:w="1931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812870">
            <w:pPr>
              <w:jc w:val="center"/>
              <w:rPr>
                <w:rFonts w:ascii="Arial" w:hAnsi="Arial" w:cs="Arial"/>
                <w:color w:val="3333FF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3 226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3 592</w:t>
            </w:r>
          </w:p>
        </w:tc>
        <w:tc>
          <w:tcPr>
            <w:tcW w:w="19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12870" w:rsidRDefault="003D292B">
            <w:pPr>
              <w:jc w:val="center"/>
              <w:rPr>
                <w:rFonts w:ascii="Arial" w:hAnsi="Arial" w:cs="Arial"/>
                <w:color w:val="3333FF"/>
              </w:rPr>
            </w:pPr>
            <w:r w:rsidRPr="00876E40">
              <w:rPr>
                <w:rFonts w:ascii="Arial" w:hAnsi="Arial" w:cs="Arial"/>
                <w:color w:val="3333FF"/>
              </w:rPr>
              <w:t>3 918</w:t>
            </w:r>
          </w:p>
        </w:tc>
      </w:tr>
    </w:tbl>
    <w:p w:rsidR="00CB5A3D" w:rsidRPr="00876E40" w:rsidRDefault="00CB5A3D" w:rsidP="00CB5A3D">
      <w:pPr>
        <w:rPr>
          <w:rFonts w:ascii="Arial" w:hAnsi="Arial" w:cs="Arial"/>
          <w:color w:val="3333FF"/>
        </w:rPr>
      </w:pPr>
    </w:p>
    <w:p w:rsidR="00812870" w:rsidRPr="00664F23" w:rsidRDefault="003D292B">
      <w:pPr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lang w:val="en-US"/>
        </w:rPr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 1: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These losses are maximum and no tolerance is allowed.</w:t>
      </w:r>
    </w:p>
    <w:p w:rsidR="00CB5A3D" w:rsidRPr="00664F23" w:rsidRDefault="00CB5A3D" w:rsidP="00CB5A3D">
      <w:pPr>
        <w:ind w:left="1134" w:hanging="1134"/>
        <w:rPr>
          <w:rFonts w:ascii="Arial" w:hAnsi="Arial" w:cs="Arial"/>
          <w:color w:val="3333FF"/>
          <w:sz w:val="16"/>
          <w:szCs w:val="16"/>
          <w:lang w:val="en-US"/>
        </w:rPr>
      </w:pPr>
    </w:p>
    <w:p w:rsidR="00812870" w:rsidRPr="00664F23" w:rsidRDefault="003D292B">
      <w:pPr>
        <w:ind w:left="709" w:hanging="709"/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sz w:val="16"/>
          <w:szCs w:val="16"/>
          <w:lang w:val="en-US"/>
        </w:rPr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 2: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Total losses include load losses at 80% of rated capacity.</w:t>
      </w:r>
    </w:p>
    <w:p w:rsidR="00CB5A3D" w:rsidRPr="00664F23" w:rsidRDefault="00CB5A3D" w:rsidP="00CB5A3D">
      <w:pPr>
        <w:ind w:left="1134" w:hanging="1134"/>
        <w:rPr>
          <w:rFonts w:ascii="Arial" w:hAnsi="Arial" w:cs="Arial"/>
          <w:color w:val="3333FF"/>
          <w:sz w:val="16"/>
          <w:szCs w:val="16"/>
          <w:lang w:val="en-US"/>
        </w:rPr>
      </w:pPr>
    </w:p>
    <w:p w:rsidR="00812870" w:rsidRPr="00664F23" w:rsidRDefault="003D292B">
      <w:pPr>
        <w:ind w:left="709" w:hanging="709"/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sz w:val="16"/>
          <w:szCs w:val="16"/>
          <w:lang w:val="en-US"/>
        </w:rPr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 3: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Distribution transformers with capacities intermediate to those in this table must comply with the losses for the preferabl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y next higher capacity.</w:t>
      </w:r>
    </w:p>
    <w:p w:rsidR="00CB5A3D" w:rsidRPr="00664F23" w:rsidRDefault="00CB5A3D" w:rsidP="00CB5A3D">
      <w:pPr>
        <w:ind w:left="1134" w:hanging="1134"/>
        <w:rPr>
          <w:rFonts w:ascii="Arial" w:hAnsi="Arial" w:cs="Arial"/>
          <w:color w:val="3333FF"/>
          <w:sz w:val="16"/>
          <w:szCs w:val="16"/>
          <w:lang w:val="en-US"/>
        </w:rPr>
      </w:pPr>
    </w:p>
    <w:p w:rsidR="00812870" w:rsidRPr="00664F23" w:rsidRDefault="003D292B">
      <w:pPr>
        <w:ind w:left="709" w:hanging="709"/>
        <w:rPr>
          <w:rFonts w:ascii="Arial" w:hAnsi="Arial" w:cs="Arial"/>
          <w:color w:val="3333FF"/>
          <w:sz w:val="16"/>
          <w:szCs w:val="16"/>
          <w:lang w:val="en-US"/>
        </w:rPr>
      </w:pPr>
      <w:r w:rsidRPr="00664F23">
        <w:rPr>
          <w:rFonts w:ascii="Arial" w:hAnsi="Arial" w:cs="Arial"/>
          <w:color w:val="3333FF"/>
          <w:sz w:val="16"/>
          <w:szCs w:val="16"/>
          <w:lang w:val="en-US"/>
        </w:rPr>
        <w:tab/>
      </w:r>
      <w:r w:rsidRPr="00664F23">
        <w:rPr>
          <w:rFonts w:ascii="Arial" w:hAnsi="Arial" w:cs="Arial"/>
          <w:b/>
          <w:color w:val="3333FF"/>
          <w:sz w:val="16"/>
          <w:szCs w:val="16"/>
          <w:lang w:val="en-US"/>
        </w:rPr>
        <w:t xml:space="preserve">NOTE 4: </w:t>
      </w:r>
      <w:r w:rsidRPr="00664F23">
        <w:rPr>
          <w:rFonts w:ascii="Arial" w:hAnsi="Arial" w:cs="Arial"/>
          <w:color w:val="3333FF"/>
          <w:sz w:val="16"/>
          <w:szCs w:val="16"/>
          <w:lang w:val="en-US"/>
        </w:rPr>
        <w:t>Losses caused by protection accessories are independent of transformer losses, so they are not considered for the calculation of transformer efficiency.</w:t>
      </w:r>
    </w:p>
    <w:p w:rsidR="00B679BA" w:rsidRPr="00664F23" w:rsidRDefault="00B679BA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ind w:right="139"/>
        <w:rPr>
          <w:rFonts w:ascii="Arial" w:eastAsia="Calibri" w:hAnsi="Arial" w:cs="Arial"/>
          <w:color w:val="3333FF"/>
          <w:lang w:val="en-US" w:eastAsia="en-US"/>
        </w:rPr>
      </w:pPr>
    </w:p>
    <w:p w:rsidR="00B679BA" w:rsidRPr="00664F23" w:rsidRDefault="00B679BA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ind w:right="139"/>
        <w:rPr>
          <w:rFonts w:ascii="Arial" w:eastAsia="Calibri" w:hAnsi="Arial" w:cs="Arial"/>
          <w:color w:val="3333FF"/>
          <w:lang w:val="en-US" w:eastAsia="en-US"/>
        </w:rPr>
      </w:pPr>
    </w:p>
    <w:p w:rsidR="00B679BA" w:rsidRPr="00664F23" w:rsidRDefault="00B679BA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ind w:right="139"/>
        <w:rPr>
          <w:rFonts w:ascii="Arial" w:eastAsia="Calibri" w:hAnsi="Arial" w:cs="Arial"/>
          <w:color w:val="3333FF"/>
          <w:lang w:val="en-US" w:eastAsia="en-US"/>
        </w:rPr>
      </w:pPr>
    </w:p>
    <w:p w:rsidR="00B679BA" w:rsidRPr="00664F23" w:rsidRDefault="00B679BA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ind w:right="139"/>
        <w:rPr>
          <w:rFonts w:ascii="Arial" w:eastAsia="Calibri" w:hAnsi="Arial" w:cs="Arial"/>
          <w:color w:val="3333FF"/>
          <w:lang w:val="en-US" w:eastAsia="en-US"/>
        </w:rPr>
      </w:pPr>
    </w:p>
    <w:p w:rsidR="00FE4A8A" w:rsidRPr="00664F23" w:rsidRDefault="00FE4A8A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3333FF"/>
          <w:highlight w:val="cyan"/>
          <w:lang w:val="en-US"/>
        </w:rPr>
      </w:pPr>
    </w:p>
    <w:p w:rsidR="00AA3B59" w:rsidRPr="00664F23" w:rsidRDefault="00AA3B59" w:rsidP="00CB5A3D">
      <w:pPr>
        <w:widowControl/>
        <w:tabs>
          <w:tab w:val="left" w:pos="1134"/>
          <w:tab w:val="left" w:pos="1985"/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left" w:pos="7938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3333FF"/>
          <w:lang w:val="en-US"/>
        </w:rPr>
      </w:pPr>
    </w:p>
    <w:sectPr w:rsidR="00AA3B59" w:rsidRPr="00664F23" w:rsidSect="001C36AD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851" w:right="851" w:bottom="567" w:left="851" w:header="851" w:footer="567" w:gutter="284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2B" w:rsidRDefault="003D292B">
      <w:r>
        <w:separator/>
      </w:r>
    </w:p>
  </w:endnote>
  <w:endnote w:type="continuationSeparator" w:id="0">
    <w:p w:rsidR="003D292B" w:rsidRDefault="003D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70" w:rsidRDefault="003D292B">
    <w:pPr>
      <w:pStyle w:val="Piedepgina"/>
      <w:rPr>
        <w:rFonts w:ascii="Arial" w:hAnsi="Arial" w:cs="Arial"/>
        <w:b/>
      </w:rPr>
    </w:pPr>
    <w:r w:rsidRPr="00C968D2">
      <w:rPr>
        <w:rFonts w:ascii="Arial" w:hAnsi="Arial" w:cs="Arial"/>
        <w:b/>
      </w:rPr>
      <w:fldChar w:fldCharType="begin"/>
    </w:r>
    <w:r w:rsidRPr="00C968D2">
      <w:rPr>
        <w:rFonts w:ascii="Arial" w:hAnsi="Arial" w:cs="Arial"/>
        <w:b/>
      </w:rPr>
      <w:instrText xml:space="preserve">PAGE   \* </w:instrText>
    </w:r>
    <w:r w:rsidRPr="00C968D2">
      <w:rPr>
        <w:rFonts w:ascii="Arial" w:hAnsi="Arial" w:cs="Arial"/>
        <w:b/>
      </w:rPr>
      <w:instrText>MERGEFORMAT</w:instrText>
    </w:r>
    <w:r w:rsidR="00664F23">
      <w:rPr>
        <w:rFonts w:ascii="Arial" w:hAnsi="Arial" w:cs="Arial"/>
        <w:b/>
      </w:rPr>
      <w:fldChar w:fldCharType="separate"/>
    </w:r>
    <w:r w:rsidR="00664F23">
      <w:rPr>
        <w:rFonts w:ascii="Arial" w:hAnsi="Arial" w:cs="Arial"/>
        <w:b/>
        <w:noProof/>
      </w:rPr>
      <w:t>8</w:t>
    </w:r>
    <w:r w:rsidRPr="00C968D2">
      <w:rPr>
        <w:rFonts w:ascii="Arial" w:hAnsi="Arial" w:cs="Arial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70" w:rsidRDefault="003D292B">
    <w:pPr>
      <w:pStyle w:val="Piedepgina"/>
      <w:jc w:val="right"/>
      <w:rPr>
        <w:rFonts w:ascii="Arial" w:hAnsi="Arial" w:cs="Arial"/>
        <w:b/>
      </w:rPr>
    </w:pPr>
    <w:r w:rsidRPr="00C968D2">
      <w:rPr>
        <w:rFonts w:ascii="Arial" w:hAnsi="Arial" w:cs="Arial"/>
        <w:b/>
      </w:rPr>
      <w:fldChar w:fldCharType="begin"/>
    </w:r>
    <w:r w:rsidRPr="00C968D2">
      <w:rPr>
        <w:rFonts w:ascii="Arial" w:hAnsi="Arial" w:cs="Arial"/>
        <w:b/>
      </w:rPr>
      <w:instrText>PAGE   \* MERGEFORMAT</w:instrText>
    </w:r>
    <w:r w:rsidR="00664F23">
      <w:rPr>
        <w:rFonts w:ascii="Arial" w:hAnsi="Arial" w:cs="Arial"/>
        <w:b/>
      </w:rPr>
      <w:fldChar w:fldCharType="separate"/>
    </w:r>
    <w:r w:rsidR="00664F23">
      <w:rPr>
        <w:rFonts w:ascii="Arial" w:hAnsi="Arial" w:cs="Arial"/>
        <w:b/>
        <w:noProof/>
      </w:rPr>
      <w:t>9</w:t>
    </w:r>
    <w:r w:rsidRPr="00C968D2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2B" w:rsidRDefault="003D292B">
      <w:r>
        <w:separator/>
      </w:r>
    </w:p>
  </w:footnote>
  <w:footnote w:type="continuationSeparator" w:id="0">
    <w:p w:rsidR="003D292B" w:rsidRDefault="003D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70" w:rsidRDefault="003D292B">
    <w:pPr>
      <w:jc w:val="left"/>
      <w:rPr>
        <w:rFonts w:ascii="Arial" w:hAnsi="Arial" w:cs="Arial"/>
        <w:sz w:val="22"/>
        <w:szCs w:val="22"/>
      </w:rPr>
    </w:pPr>
    <w:r>
      <w:rPr>
        <w:rFonts w:ascii="Arial" w:hAnsi="Arial" w:cs="Arial"/>
        <w:spacing w:val="20"/>
        <w:position w:val="14"/>
        <w:sz w:val="22"/>
        <w:szCs w:val="22"/>
      </w:rPr>
      <w:t>Project COPANT 152-032</w:t>
    </w:r>
  </w:p>
  <w:p w:rsidR="003D532B" w:rsidRPr="00C968D2" w:rsidRDefault="003D532B" w:rsidP="007D2F0C">
    <w:pPr>
      <w:pStyle w:val="Encabezado"/>
      <w:rPr>
        <w:rFonts w:ascii="Arial" w:hAnsi="Arial" w:cs="Arial"/>
        <w:spacing w:val="20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870" w:rsidRDefault="003D292B">
    <w:pPr>
      <w:jc w:val="right"/>
      <w:rPr>
        <w:rFonts w:ascii="Arial" w:hAnsi="Arial" w:cs="Arial"/>
        <w:spacing w:val="20"/>
        <w:lang w:val="es-ES"/>
      </w:rPr>
    </w:pPr>
    <w:r>
      <w:rPr>
        <w:rFonts w:ascii="Arial" w:hAnsi="Arial" w:cs="Arial"/>
        <w:spacing w:val="20"/>
        <w:position w:val="14"/>
        <w:sz w:val="22"/>
        <w:szCs w:val="22"/>
      </w:rPr>
      <w:t>Project COPANT 152-032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3BD"/>
    <w:multiLevelType w:val="multilevel"/>
    <w:tmpl w:val="E7868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440"/>
      </w:pPr>
      <w:rPr>
        <w:rFonts w:hint="default"/>
      </w:rPr>
    </w:lvl>
  </w:abstractNum>
  <w:abstractNum w:abstractNumId="1" w15:restartNumberingAfterBreak="0">
    <w:nsid w:val="039F1033"/>
    <w:multiLevelType w:val="hybridMultilevel"/>
    <w:tmpl w:val="BA40BE50"/>
    <w:lvl w:ilvl="0" w:tplc="152EDD6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CE1"/>
    <w:multiLevelType w:val="multilevel"/>
    <w:tmpl w:val="3730BEC6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" w15:restartNumberingAfterBreak="0">
    <w:nsid w:val="088624C7"/>
    <w:multiLevelType w:val="hybridMultilevel"/>
    <w:tmpl w:val="4358E918"/>
    <w:lvl w:ilvl="0" w:tplc="E10047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598D"/>
    <w:multiLevelType w:val="hybridMultilevel"/>
    <w:tmpl w:val="B8BEDED8"/>
    <w:lvl w:ilvl="0" w:tplc="ED42A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62E4"/>
    <w:multiLevelType w:val="hybridMultilevel"/>
    <w:tmpl w:val="210411F0"/>
    <w:lvl w:ilvl="0" w:tplc="A7DE89BA">
      <w:start w:val="1"/>
      <w:numFmt w:val="lowerLetter"/>
      <w:lvlText w:val="%1)"/>
      <w:lvlJc w:val="left"/>
      <w:pPr>
        <w:ind w:left="101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1C4A91E4">
      <w:numFmt w:val="bullet"/>
      <w:lvlText w:val="•"/>
      <w:lvlJc w:val="left"/>
      <w:pPr>
        <w:ind w:left="2068" w:hanging="284"/>
      </w:pPr>
      <w:rPr>
        <w:rFonts w:hint="default"/>
        <w:lang w:val="es-ES" w:eastAsia="es-ES" w:bidi="es-ES"/>
      </w:rPr>
    </w:lvl>
    <w:lvl w:ilvl="2" w:tplc="4AC03F66">
      <w:numFmt w:val="bullet"/>
      <w:lvlText w:val="•"/>
      <w:lvlJc w:val="left"/>
      <w:pPr>
        <w:ind w:left="3117" w:hanging="284"/>
      </w:pPr>
      <w:rPr>
        <w:rFonts w:hint="default"/>
        <w:lang w:val="es-ES" w:eastAsia="es-ES" w:bidi="es-ES"/>
      </w:rPr>
    </w:lvl>
    <w:lvl w:ilvl="3" w:tplc="958C993E">
      <w:numFmt w:val="bullet"/>
      <w:lvlText w:val="•"/>
      <w:lvlJc w:val="left"/>
      <w:pPr>
        <w:ind w:left="4165" w:hanging="284"/>
      </w:pPr>
      <w:rPr>
        <w:rFonts w:hint="default"/>
        <w:lang w:val="es-ES" w:eastAsia="es-ES" w:bidi="es-ES"/>
      </w:rPr>
    </w:lvl>
    <w:lvl w:ilvl="4" w:tplc="785C03BA">
      <w:numFmt w:val="bullet"/>
      <w:lvlText w:val="•"/>
      <w:lvlJc w:val="left"/>
      <w:pPr>
        <w:ind w:left="5214" w:hanging="284"/>
      </w:pPr>
      <w:rPr>
        <w:rFonts w:hint="default"/>
        <w:lang w:val="es-ES" w:eastAsia="es-ES" w:bidi="es-ES"/>
      </w:rPr>
    </w:lvl>
    <w:lvl w:ilvl="5" w:tplc="607284BC">
      <w:numFmt w:val="bullet"/>
      <w:lvlText w:val="•"/>
      <w:lvlJc w:val="left"/>
      <w:pPr>
        <w:ind w:left="6263" w:hanging="284"/>
      </w:pPr>
      <w:rPr>
        <w:rFonts w:hint="default"/>
        <w:lang w:val="es-ES" w:eastAsia="es-ES" w:bidi="es-ES"/>
      </w:rPr>
    </w:lvl>
    <w:lvl w:ilvl="6" w:tplc="948656CA">
      <w:numFmt w:val="bullet"/>
      <w:lvlText w:val="•"/>
      <w:lvlJc w:val="left"/>
      <w:pPr>
        <w:ind w:left="7311" w:hanging="284"/>
      </w:pPr>
      <w:rPr>
        <w:rFonts w:hint="default"/>
        <w:lang w:val="es-ES" w:eastAsia="es-ES" w:bidi="es-ES"/>
      </w:rPr>
    </w:lvl>
    <w:lvl w:ilvl="7" w:tplc="E9AC0D5E">
      <w:numFmt w:val="bullet"/>
      <w:lvlText w:val="•"/>
      <w:lvlJc w:val="left"/>
      <w:pPr>
        <w:ind w:left="8360" w:hanging="284"/>
      </w:pPr>
      <w:rPr>
        <w:rFonts w:hint="default"/>
        <w:lang w:val="es-ES" w:eastAsia="es-ES" w:bidi="es-ES"/>
      </w:rPr>
    </w:lvl>
    <w:lvl w:ilvl="8" w:tplc="3EB87E10">
      <w:numFmt w:val="bullet"/>
      <w:lvlText w:val="•"/>
      <w:lvlJc w:val="left"/>
      <w:pPr>
        <w:ind w:left="9409" w:hanging="284"/>
      </w:pPr>
      <w:rPr>
        <w:rFonts w:hint="default"/>
        <w:lang w:val="es-ES" w:eastAsia="es-ES" w:bidi="es-ES"/>
      </w:rPr>
    </w:lvl>
  </w:abstractNum>
  <w:abstractNum w:abstractNumId="6" w15:restartNumberingAfterBreak="0">
    <w:nsid w:val="14715449"/>
    <w:multiLevelType w:val="multilevel"/>
    <w:tmpl w:val="7954018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440"/>
      </w:pPr>
      <w:rPr>
        <w:rFonts w:hint="default"/>
      </w:rPr>
    </w:lvl>
  </w:abstractNum>
  <w:abstractNum w:abstractNumId="7" w15:restartNumberingAfterBreak="0">
    <w:nsid w:val="18342558"/>
    <w:multiLevelType w:val="multilevel"/>
    <w:tmpl w:val="99E0CF20"/>
    <w:lvl w:ilvl="0">
      <w:start w:val="5"/>
      <w:numFmt w:val="decimal"/>
      <w:lvlText w:val="%1"/>
      <w:lvlJc w:val="left"/>
      <w:pPr>
        <w:ind w:left="1244" w:hanging="512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244" w:hanging="512"/>
      </w:pPr>
      <w:rPr>
        <w:rFonts w:ascii="Arial" w:eastAsia="Times New Roman" w:hAnsi="Arial" w:cs="Arial" w:hint="default"/>
        <w:b/>
        <w:bCs/>
        <w:spacing w:val="-2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293" w:hanging="5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319" w:hanging="5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346" w:hanging="5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373" w:hanging="5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99" w:hanging="5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26" w:hanging="5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3" w:hanging="512"/>
      </w:pPr>
      <w:rPr>
        <w:rFonts w:hint="default"/>
        <w:lang w:val="es-ES" w:eastAsia="es-ES" w:bidi="es-ES"/>
      </w:rPr>
    </w:lvl>
  </w:abstractNum>
  <w:abstractNum w:abstractNumId="8" w15:restartNumberingAfterBreak="0">
    <w:nsid w:val="1D2E2961"/>
    <w:multiLevelType w:val="multilevel"/>
    <w:tmpl w:val="C58057CA"/>
    <w:lvl w:ilvl="0">
      <w:start w:val="20"/>
      <w:numFmt w:val="decimal"/>
      <w:lvlText w:val="%1"/>
      <w:lvlJc w:val="left"/>
      <w:pPr>
        <w:ind w:left="1441" w:hanging="7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441" w:hanging="709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441" w:hanging="70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785" w:hanging="7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88" w:hanging="7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991" w:hanging="7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94" w:hanging="7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97" w:hanging="7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0" w:hanging="709"/>
      </w:pPr>
      <w:rPr>
        <w:rFonts w:hint="default"/>
        <w:lang w:val="es-ES" w:eastAsia="es-ES" w:bidi="es-ES"/>
      </w:rPr>
    </w:lvl>
  </w:abstractNum>
  <w:abstractNum w:abstractNumId="9" w15:restartNumberingAfterBreak="0">
    <w:nsid w:val="1DF169B6"/>
    <w:multiLevelType w:val="hybridMultilevel"/>
    <w:tmpl w:val="781070DE"/>
    <w:lvl w:ilvl="0" w:tplc="A7DE89BA">
      <w:start w:val="1"/>
      <w:numFmt w:val="lowerLetter"/>
      <w:lvlText w:val="%1)"/>
      <w:lvlJc w:val="left"/>
      <w:pPr>
        <w:ind w:left="1748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0C0A0019" w:tentative="1">
      <w:start w:val="1"/>
      <w:numFmt w:val="lowerLetter"/>
      <w:lvlText w:val="%2."/>
      <w:lvlJc w:val="left"/>
      <w:pPr>
        <w:ind w:left="2172" w:hanging="360"/>
      </w:pPr>
    </w:lvl>
    <w:lvl w:ilvl="2" w:tplc="0C0A001B" w:tentative="1">
      <w:start w:val="1"/>
      <w:numFmt w:val="lowerRoman"/>
      <w:lvlText w:val="%3."/>
      <w:lvlJc w:val="right"/>
      <w:pPr>
        <w:ind w:left="2892" w:hanging="180"/>
      </w:pPr>
    </w:lvl>
    <w:lvl w:ilvl="3" w:tplc="0C0A000F" w:tentative="1">
      <w:start w:val="1"/>
      <w:numFmt w:val="decimal"/>
      <w:lvlText w:val="%4."/>
      <w:lvlJc w:val="left"/>
      <w:pPr>
        <w:ind w:left="3612" w:hanging="360"/>
      </w:pPr>
    </w:lvl>
    <w:lvl w:ilvl="4" w:tplc="0C0A0019" w:tentative="1">
      <w:start w:val="1"/>
      <w:numFmt w:val="lowerLetter"/>
      <w:lvlText w:val="%5."/>
      <w:lvlJc w:val="left"/>
      <w:pPr>
        <w:ind w:left="4332" w:hanging="360"/>
      </w:pPr>
    </w:lvl>
    <w:lvl w:ilvl="5" w:tplc="0C0A001B" w:tentative="1">
      <w:start w:val="1"/>
      <w:numFmt w:val="lowerRoman"/>
      <w:lvlText w:val="%6."/>
      <w:lvlJc w:val="right"/>
      <w:pPr>
        <w:ind w:left="5052" w:hanging="180"/>
      </w:pPr>
    </w:lvl>
    <w:lvl w:ilvl="6" w:tplc="0C0A000F" w:tentative="1">
      <w:start w:val="1"/>
      <w:numFmt w:val="decimal"/>
      <w:lvlText w:val="%7."/>
      <w:lvlJc w:val="left"/>
      <w:pPr>
        <w:ind w:left="5772" w:hanging="360"/>
      </w:pPr>
    </w:lvl>
    <w:lvl w:ilvl="7" w:tplc="0C0A0019" w:tentative="1">
      <w:start w:val="1"/>
      <w:numFmt w:val="lowerLetter"/>
      <w:lvlText w:val="%8."/>
      <w:lvlJc w:val="left"/>
      <w:pPr>
        <w:ind w:left="6492" w:hanging="360"/>
      </w:pPr>
    </w:lvl>
    <w:lvl w:ilvl="8" w:tplc="0C0A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0" w15:restartNumberingAfterBreak="0">
    <w:nsid w:val="2A343656"/>
    <w:multiLevelType w:val="hybridMultilevel"/>
    <w:tmpl w:val="9FCE15CC"/>
    <w:lvl w:ilvl="0" w:tplc="61962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076F"/>
    <w:multiLevelType w:val="hybridMultilevel"/>
    <w:tmpl w:val="C75811B4"/>
    <w:lvl w:ilvl="0" w:tplc="AB460D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64CCA"/>
    <w:multiLevelType w:val="multilevel"/>
    <w:tmpl w:val="31A4CBD2"/>
    <w:lvl w:ilvl="0">
      <w:start w:val="6"/>
      <w:numFmt w:val="decimal"/>
      <w:lvlText w:val="%1"/>
      <w:lvlJc w:val="left"/>
      <w:pPr>
        <w:ind w:left="1386" w:hanging="654"/>
      </w:pPr>
      <w:rPr>
        <w:rFonts w:hint="default"/>
        <w:lang w:val="es-ES" w:eastAsia="es-ES" w:bidi="es-ES"/>
      </w:rPr>
    </w:lvl>
    <w:lvl w:ilvl="1">
      <w:start w:val="14"/>
      <w:numFmt w:val="decimal"/>
      <w:lvlText w:val="%1.%2"/>
      <w:lvlJc w:val="left"/>
      <w:pPr>
        <w:ind w:left="1386" w:hanging="65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"/>
      <w:lvlJc w:val="left"/>
      <w:pPr>
        <w:ind w:left="1386" w:hanging="654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4417" w:hanging="65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30" w:hanging="65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43" w:hanging="65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55" w:hanging="65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8" w:hanging="65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81" w:hanging="654"/>
      </w:pPr>
      <w:rPr>
        <w:rFonts w:hint="default"/>
        <w:lang w:val="es-ES" w:eastAsia="es-ES" w:bidi="es-ES"/>
      </w:rPr>
    </w:lvl>
  </w:abstractNum>
  <w:abstractNum w:abstractNumId="13" w15:restartNumberingAfterBreak="0">
    <w:nsid w:val="50A45AA9"/>
    <w:multiLevelType w:val="hybridMultilevel"/>
    <w:tmpl w:val="8DA8CD80"/>
    <w:lvl w:ilvl="0" w:tplc="2A1CD68E">
      <w:numFmt w:val="bullet"/>
      <w:lvlText w:val="–"/>
      <w:lvlJc w:val="left"/>
      <w:pPr>
        <w:ind w:left="101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C744274A">
      <w:numFmt w:val="bullet"/>
      <w:lvlText w:val="•"/>
      <w:lvlJc w:val="left"/>
      <w:pPr>
        <w:ind w:left="2068" w:hanging="284"/>
      </w:pPr>
      <w:rPr>
        <w:rFonts w:hint="default"/>
        <w:lang w:val="es-ES" w:eastAsia="es-ES" w:bidi="es-ES"/>
      </w:rPr>
    </w:lvl>
    <w:lvl w:ilvl="2" w:tplc="C1E02C0E">
      <w:numFmt w:val="bullet"/>
      <w:lvlText w:val="•"/>
      <w:lvlJc w:val="left"/>
      <w:pPr>
        <w:ind w:left="3117" w:hanging="284"/>
      </w:pPr>
      <w:rPr>
        <w:rFonts w:hint="default"/>
        <w:lang w:val="es-ES" w:eastAsia="es-ES" w:bidi="es-ES"/>
      </w:rPr>
    </w:lvl>
    <w:lvl w:ilvl="3" w:tplc="7E1ED310">
      <w:numFmt w:val="bullet"/>
      <w:lvlText w:val="•"/>
      <w:lvlJc w:val="left"/>
      <w:pPr>
        <w:ind w:left="4165" w:hanging="284"/>
      </w:pPr>
      <w:rPr>
        <w:rFonts w:hint="default"/>
        <w:lang w:val="es-ES" w:eastAsia="es-ES" w:bidi="es-ES"/>
      </w:rPr>
    </w:lvl>
    <w:lvl w:ilvl="4" w:tplc="C8A61954">
      <w:numFmt w:val="bullet"/>
      <w:lvlText w:val="•"/>
      <w:lvlJc w:val="left"/>
      <w:pPr>
        <w:ind w:left="5214" w:hanging="284"/>
      </w:pPr>
      <w:rPr>
        <w:rFonts w:hint="default"/>
        <w:lang w:val="es-ES" w:eastAsia="es-ES" w:bidi="es-ES"/>
      </w:rPr>
    </w:lvl>
    <w:lvl w:ilvl="5" w:tplc="10026114">
      <w:numFmt w:val="bullet"/>
      <w:lvlText w:val="•"/>
      <w:lvlJc w:val="left"/>
      <w:pPr>
        <w:ind w:left="6263" w:hanging="284"/>
      </w:pPr>
      <w:rPr>
        <w:rFonts w:hint="default"/>
        <w:lang w:val="es-ES" w:eastAsia="es-ES" w:bidi="es-ES"/>
      </w:rPr>
    </w:lvl>
    <w:lvl w:ilvl="6" w:tplc="A89CD2B8">
      <w:numFmt w:val="bullet"/>
      <w:lvlText w:val="•"/>
      <w:lvlJc w:val="left"/>
      <w:pPr>
        <w:ind w:left="7311" w:hanging="284"/>
      </w:pPr>
      <w:rPr>
        <w:rFonts w:hint="default"/>
        <w:lang w:val="es-ES" w:eastAsia="es-ES" w:bidi="es-ES"/>
      </w:rPr>
    </w:lvl>
    <w:lvl w:ilvl="7" w:tplc="5E6A8D08">
      <w:numFmt w:val="bullet"/>
      <w:lvlText w:val="•"/>
      <w:lvlJc w:val="left"/>
      <w:pPr>
        <w:ind w:left="8360" w:hanging="284"/>
      </w:pPr>
      <w:rPr>
        <w:rFonts w:hint="default"/>
        <w:lang w:val="es-ES" w:eastAsia="es-ES" w:bidi="es-ES"/>
      </w:rPr>
    </w:lvl>
    <w:lvl w:ilvl="8" w:tplc="D0B8A746">
      <w:numFmt w:val="bullet"/>
      <w:lvlText w:val="•"/>
      <w:lvlJc w:val="left"/>
      <w:pPr>
        <w:ind w:left="9409" w:hanging="284"/>
      </w:pPr>
      <w:rPr>
        <w:rFonts w:hint="default"/>
        <w:lang w:val="es-ES" w:eastAsia="es-ES" w:bidi="es-ES"/>
      </w:rPr>
    </w:lvl>
  </w:abstractNum>
  <w:abstractNum w:abstractNumId="14" w15:restartNumberingAfterBreak="0">
    <w:nsid w:val="54034B44"/>
    <w:multiLevelType w:val="multilevel"/>
    <w:tmpl w:val="C58057CA"/>
    <w:lvl w:ilvl="0">
      <w:start w:val="20"/>
      <w:numFmt w:val="decimal"/>
      <w:lvlText w:val="%1"/>
      <w:lvlJc w:val="left"/>
      <w:pPr>
        <w:ind w:left="1441" w:hanging="7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441" w:hanging="709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1441" w:hanging="709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785" w:hanging="7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888" w:hanging="7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991" w:hanging="7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94" w:hanging="7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97" w:hanging="7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0" w:hanging="709"/>
      </w:pPr>
      <w:rPr>
        <w:rFonts w:hint="default"/>
        <w:lang w:val="es-ES" w:eastAsia="es-ES" w:bidi="es-ES"/>
      </w:rPr>
    </w:lvl>
  </w:abstractNum>
  <w:abstractNum w:abstractNumId="15" w15:restartNumberingAfterBreak="0">
    <w:nsid w:val="5C5A22BA"/>
    <w:multiLevelType w:val="hybridMultilevel"/>
    <w:tmpl w:val="ED48931C"/>
    <w:lvl w:ilvl="0" w:tplc="0354F45E">
      <w:start w:val="1"/>
      <w:numFmt w:val="lowerLetter"/>
      <w:lvlText w:val="%1"/>
      <w:lvlJc w:val="left"/>
      <w:pPr>
        <w:ind w:left="254" w:hanging="198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es-ES" w:eastAsia="es-ES" w:bidi="es-ES"/>
      </w:rPr>
    </w:lvl>
    <w:lvl w:ilvl="1" w:tplc="843EDE14">
      <w:numFmt w:val="bullet"/>
      <w:lvlText w:val="•"/>
      <w:lvlJc w:val="left"/>
      <w:pPr>
        <w:ind w:left="1196" w:hanging="198"/>
      </w:pPr>
      <w:rPr>
        <w:rFonts w:hint="default"/>
        <w:lang w:val="es-ES" w:eastAsia="es-ES" w:bidi="es-ES"/>
      </w:rPr>
    </w:lvl>
    <w:lvl w:ilvl="2" w:tplc="4EF4453C">
      <w:numFmt w:val="bullet"/>
      <w:lvlText w:val="•"/>
      <w:lvlJc w:val="left"/>
      <w:pPr>
        <w:ind w:left="2133" w:hanging="198"/>
      </w:pPr>
      <w:rPr>
        <w:rFonts w:hint="default"/>
        <w:lang w:val="es-ES" w:eastAsia="es-ES" w:bidi="es-ES"/>
      </w:rPr>
    </w:lvl>
    <w:lvl w:ilvl="3" w:tplc="A30212FA">
      <w:numFmt w:val="bullet"/>
      <w:lvlText w:val="•"/>
      <w:lvlJc w:val="left"/>
      <w:pPr>
        <w:ind w:left="3070" w:hanging="198"/>
      </w:pPr>
      <w:rPr>
        <w:rFonts w:hint="default"/>
        <w:lang w:val="es-ES" w:eastAsia="es-ES" w:bidi="es-ES"/>
      </w:rPr>
    </w:lvl>
    <w:lvl w:ilvl="4" w:tplc="550E7194">
      <w:numFmt w:val="bullet"/>
      <w:lvlText w:val="•"/>
      <w:lvlJc w:val="left"/>
      <w:pPr>
        <w:ind w:left="4007" w:hanging="198"/>
      </w:pPr>
      <w:rPr>
        <w:rFonts w:hint="default"/>
        <w:lang w:val="es-ES" w:eastAsia="es-ES" w:bidi="es-ES"/>
      </w:rPr>
    </w:lvl>
    <w:lvl w:ilvl="5" w:tplc="B24A6EAE">
      <w:numFmt w:val="bullet"/>
      <w:lvlText w:val="•"/>
      <w:lvlJc w:val="left"/>
      <w:pPr>
        <w:ind w:left="4944" w:hanging="198"/>
      </w:pPr>
      <w:rPr>
        <w:rFonts w:hint="default"/>
        <w:lang w:val="es-ES" w:eastAsia="es-ES" w:bidi="es-ES"/>
      </w:rPr>
    </w:lvl>
    <w:lvl w:ilvl="6" w:tplc="90A82AB6">
      <w:numFmt w:val="bullet"/>
      <w:lvlText w:val="•"/>
      <w:lvlJc w:val="left"/>
      <w:pPr>
        <w:ind w:left="5880" w:hanging="198"/>
      </w:pPr>
      <w:rPr>
        <w:rFonts w:hint="default"/>
        <w:lang w:val="es-ES" w:eastAsia="es-ES" w:bidi="es-ES"/>
      </w:rPr>
    </w:lvl>
    <w:lvl w:ilvl="7" w:tplc="D0365A48">
      <w:numFmt w:val="bullet"/>
      <w:lvlText w:val="•"/>
      <w:lvlJc w:val="left"/>
      <w:pPr>
        <w:ind w:left="6817" w:hanging="198"/>
      </w:pPr>
      <w:rPr>
        <w:rFonts w:hint="default"/>
        <w:lang w:val="es-ES" w:eastAsia="es-ES" w:bidi="es-ES"/>
      </w:rPr>
    </w:lvl>
    <w:lvl w:ilvl="8" w:tplc="FC8C506E">
      <w:numFmt w:val="bullet"/>
      <w:lvlText w:val="•"/>
      <w:lvlJc w:val="left"/>
      <w:pPr>
        <w:ind w:left="7754" w:hanging="198"/>
      </w:pPr>
      <w:rPr>
        <w:rFonts w:hint="default"/>
        <w:lang w:val="es-ES" w:eastAsia="es-ES" w:bidi="es-ES"/>
      </w:rPr>
    </w:lvl>
  </w:abstractNum>
  <w:abstractNum w:abstractNumId="16" w15:restartNumberingAfterBreak="0">
    <w:nsid w:val="65290F7A"/>
    <w:multiLevelType w:val="multilevel"/>
    <w:tmpl w:val="D07249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8" w:hanging="1440"/>
      </w:pPr>
      <w:rPr>
        <w:rFonts w:hint="default"/>
      </w:rPr>
    </w:lvl>
  </w:abstractNum>
  <w:abstractNum w:abstractNumId="17" w15:restartNumberingAfterBreak="0">
    <w:nsid w:val="69FD5400"/>
    <w:multiLevelType w:val="multilevel"/>
    <w:tmpl w:val="A5DC7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B263754"/>
    <w:multiLevelType w:val="hybridMultilevel"/>
    <w:tmpl w:val="7A4E6F2C"/>
    <w:lvl w:ilvl="0" w:tplc="5EE015BA">
      <w:start w:val="1"/>
      <w:numFmt w:val="lowerLetter"/>
      <w:lvlText w:val="%1)"/>
      <w:lvlJc w:val="left"/>
      <w:pPr>
        <w:ind w:left="101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1" w:tplc="E1A8A202">
      <w:numFmt w:val="bullet"/>
      <w:lvlText w:val="–"/>
      <w:lvlJc w:val="left"/>
      <w:pPr>
        <w:ind w:left="1299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s-ES" w:bidi="es-ES"/>
      </w:rPr>
    </w:lvl>
    <w:lvl w:ilvl="2" w:tplc="9782FD44">
      <w:numFmt w:val="bullet"/>
      <w:lvlText w:val="•"/>
      <w:lvlJc w:val="left"/>
      <w:pPr>
        <w:ind w:left="2434" w:hanging="284"/>
      </w:pPr>
      <w:rPr>
        <w:rFonts w:hint="default"/>
        <w:lang w:val="es-ES" w:eastAsia="es-ES" w:bidi="es-ES"/>
      </w:rPr>
    </w:lvl>
    <w:lvl w:ilvl="3" w:tplc="A5D450F2">
      <w:numFmt w:val="bullet"/>
      <w:lvlText w:val="•"/>
      <w:lvlJc w:val="left"/>
      <w:pPr>
        <w:ind w:left="3568" w:hanging="284"/>
      </w:pPr>
      <w:rPr>
        <w:rFonts w:hint="default"/>
        <w:lang w:val="es-ES" w:eastAsia="es-ES" w:bidi="es-ES"/>
      </w:rPr>
    </w:lvl>
    <w:lvl w:ilvl="4" w:tplc="E30A8614">
      <w:numFmt w:val="bullet"/>
      <w:lvlText w:val="•"/>
      <w:lvlJc w:val="left"/>
      <w:pPr>
        <w:ind w:left="4702" w:hanging="284"/>
      </w:pPr>
      <w:rPr>
        <w:rFonts w:hint="default"/>
        <w:lang w:val="es-ES" w:eastAsia="es-ES" w:bidi="es-ES"/>
      </w:rPr>
    </w:lvl>
    <w:lvl w:ilvl="5" w:tplc="1DC6A9B0">
      <w:numFmt w:val="bullet"/>
      <w:lvlText w:val="•"/>
      <w:lvlJc w:val="left"/>
      <w:pPr>
        <w:ind w:left="5836" w:hanging="284"/>
      </w:pPr>
      <w:rPr>
        <w:rFonts w:hint="default"/>
        <w:lang w:val="es-ES" w:eastAsia="es-ES" w:bidi="es-ES"/>
      </w:rPr>
    </w:lvl>
    <w:lvl w:ilvl="6" w:tplc="5434E4DA">
      <w:numFmt w:val="bullet"/>
      <w:lvlText w:val="•"/>
      <w:lvlJc w:val="left"/>
      <w:pPr>
        <w:ind w:left="6970" w:hanging="284"/>
      </w:pPr>
      <w:rPr>
        <w:rFonts w:hint="default"/>
        <w:lang w:val="es-ES" w:eastAsia="es-ES" w:bidi="es-ES"/>
      </w:rPr>
    </w:lvl>
    <w:lvl w:ilvl="7" w:tplc="FC02A33C">
      <w:numFmt w:val="bullet"/>
      <w:lvlText w:val="•"/>
      <w:lvlJc w:val="left"/>
      <w:pPr>
        <w:ind w:left="8104" w:hanging="284"/>
      </w:pPr>
      <w:rPr>
        <w:rFonts w:hint="default"/>
        <w:lang w:val="es-ES" w:eastAsia="es-ES" w:bidi="es-ES"/>
      </w:rPr>
    </w:lvl>
    <w:lvl w:ilvl="8" w:tplc="CDF0E9A6">
      <w:numFmt w:val="bullet"/>
      <w:lvlText w:val="•"/>
      <w:lvlJc w:val="left"/>
      <w:pPr>
        <w:ind w:left="9238" w:hanging="28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5"/>
  </w:num>
  <w:num w:numId="8">
    <w:abstractNumId w:val="15"/>
  </w:num>
  <w:num w:numId="9">
    <w:abstractNumId w:val="6"/>
  </w:num>
  <w:num w:numId="10">
    <w:abstractNumId w:val="2"/>
  </w:num>
  <w:num w:numId="11">
    <w:abstractNumId w:val="14"/>
  </w:num>
  <w:num w:numId="12">
    <w:abstractNumId w:val="7"/>
  </w:num>
  <w:num w:numId="13">
    <w:abstractNumId w:val="12"/>
  </w:num>
  <w:num w:numId="14">
    <w:abstractNumId w:val="17"/>
  </w:num>
  <w:num w:numId="15">
    <w:abstractNumId w:val="3"/>
  </w:num>
  <w:num w:numId="16">
    <w:abstractNumId w:val="10"/>
  </w:num>
  <w:num w:numId="17">
    <w:abstractNumId w:val="9"/>
  </w:num>
  <w:num w:numId="18">
    <w:abstractNumId w:val="11"/>
  </w:num>
  <w:num w:numId="1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B7"/>
    <w:rsid w:val="000011FD"/>
    <w:rsid w:val="00001CCD"/>
    <w:rsid w:val="000024C3"/>
    <w:rsid w:val="00002690"/>
    <w:rsid w:val="000029F3"/>
    <w:rsid w:val="00003DF8"/>
    <w:rsid w:val="00004CD2"/>
    <w:rsid w:val="00006442"/>
    <w:rsid w:val="00006C80"/>
    <w:rsid w:val="00007951"/>
    <w:rsid w:val="00007C5E"/>
    <w:rsid w:val="0001380D"/>
    <w:rsid w:val="00013944"/>
    <w:rsid w:val="00014731"/>
    <w:rsid w:val="00014CEF"/>
    <w:rsid w:val="0001647A"/>
    <w:rsid w:val="00020999"/>
    <w:rsid w:val="00020D04"/>
    <w:rsid w:val="000240CA"/>
    <w:rsid w:val="00027A9A"/>
    <w:rsid w:val="00030581"/>
    <w:rsid w:val="00034D2B"/>
    <w:rsid w:val="000355AC"/>
    <w:rsid w:val="0003767D"/>
    <w:rsid w:val="000404D9"/>
    <w:rsid w:val="00040DE5"/>
    <w:rsid w:val="00041001"/>
    <w:rsid w:val="000416B1"/>
    <w:rsid w:val="000431C4"/>
    <w:rsid w:val="000435F3"/>
    <w:rsid w:val="00045CF2"/>
    <w:rsid w:val="00045CFC"/>
    <w:rsid w:val="00050021"/>
    <w:rsid w:val="000508F5"/>
    <w:rsid w:val="00055C5A"/>
    <w:rsid w:val="00060C54"/>
    <w:rsid w:val="00062BBC"/>
    <w:rsid w:val="00064826"/>
    <w:rsid w:val="00064C5A"/>
    <w:rsid w:val="00067713"/>
    <w:rsid w:val="00071918"/>
    <w:rsid w:val="0007276E"/>
    <w:rsid w:val="00073552"/>
    <w:rsid w:val="000765F0"/>
    <w:rsid w:val="00077623"/>
    <w:rsid w:val="00080680"/>
    <w:rsid w:val="00081CCB"/>
    <w:rsid w:val="000821DE"/>
    <w:rsid w:val="00082896"/>
    <w:rsid w:val="00083578"/>
    <w:rsid w:val="00083A80"/>
    <w:rsid w:val="00084767"/>
    <w:rsid w:val="0008513B"/>
    <w:rsid w:val="00086540"/>
    <w:rsid w:val="00086AB2"/>
    <w:rsid w:val="00087A7E"/>
    <w:rsid w:val="00087C3D"/>
    <w:rsid w:val="00090F83"/>
    <w:rsid w:val="00091071"/>
    <w:rsid w:val="00093A6A"/>
    <w:rsid w:val="000956F5"/>
    <w:rsid w:val="000A076E"/>
    <w:rsid w:val="000A3042"/>
    <w:rsid w:val="000A3676"/>
    <w:rsid w:val="000A4140"/>
    <w:rsid w:val="000A624D"/>
    <w:rsid w:val="000B0BFF"/>
    <w:rsid w:val="000B15C2"/>
    <w:rsid w:val="000B1990"/>
    <w:rsid w:val="000B1AEB"/>
    <w:rsid w:val="000B2179"/>
    <w:rsid w:val="000B2A4A"/>
    <w:rsid w:val="000B35B7"/>
    <w:rsid w:val="000B3818"/>
    <w:rsid w:val="000B5970"/>
    <w:rsid w:val="000B61E4"/>
    <w:rsid w:val="000C18AD"/>
    <w:rsid w:val="000C39E6"/>
    <w:rsid w:val="000C3ABB"/>
    <w:rsid w:val="000C4240"/>
    <w:rsid w:val="000C5A1B"/>
    <w:rsid w:val="000C67C0"/>
    <w:rsid w:val="000C7773"/>
    <w:rsid w:val="000C7904"/>
    <w:rsid w:val="000D1B30"/>
    <w:rsid w:val="000D1E7B"/>
    <w:rsid w:val="000D4900"/>
    <w:rsid w:val="000D799B"/>
    <w:rsid w:val="000E228E"/>
    <w:rsid w:val="000E4BC1"/>
    <w:rsid w:val="000E64F6"/>
    <w:rsid w:val="000E6F9E"/>
    <w:rsid w:val="000F0E19"/>
    <w:rsid w:val="000F1E16"/>
    <w:rsid w:val="000F2775"/>
    <w:rsid w:val="000F3294"/>
    <w:rsid w:val="000F3732"/>
    <w:rsid w:val="000F3E1E"/>
    <w:rsid w:val="000F5C31"/>
    <w:rsid w:val="000F5F9B"/>
    <w:rsid w:val="000F6715"/>
    <w:rsid w:val="000F7DCC"/>
    <w:rsid w:val="00101D2A"/>
    <w:rsid w:val="00101FDB"/>
    <w:rsid w:val="00102754"/>
    <w:rsid w:val="00103896"/>
    <w:rsid w:val="001042A8"/>
    <w:rsid w:val="00104B0D"/>
    <w:rsid w:val="00106F61"/>
    <w:rsid w:val="001070EE"/>
    <w:rsid w:val="001101BB"/>
    <w:rsid w:val="0011091A"/>
    <w:rsid w:val="001121CE"/>
    <w:rsid w:val="001150E4"/>
    <w:rsid w:val="00115FB6"/>
    <w:rsid w:val="00116929"/>
    <w:rsid w:val="00120A1F"/>
    <w:rsid w:val="00121BE8"/>
    <w:rsid w:val="00121F3F"/>
    <w:rsid w:val="001239AE"/>
    <w:rsid w:val="00125C09"/>
    <w:rsid w:val="00125CD0"/>
    <w:rsid w:val="00126110"/>
    <w:rsid w:val="00132BBB"/>
    <w:rsid w:val="0013315A"/>
    <w:rsid w:val="00133EA1"/>
    <w:rsid w:val="00134A4F"/>
    <w:rsid w:val="00134BA8"/>
    <w:rsid w:val="0013681F"/>
    <w:rsid w:val="00137029"/>
    <w:rsid w:val="00137704"/>
    <w:rsid w:val="00137BF9"/>
    <w:rsid w:val="00141B11"/>
    <w:rsid w:val="00142111"/>
    <w:rsid w:val="00142208"/>
    <w:rsid w:val="00143107"/>
    <w:rsid w:val="0014360B"/>
    <w:rsid w:val="00143A76"/>
    <w:rsid w:val="00143DB1"/>
    <w:rsid w:val="0014535D"/>
    <w:rsid w:val="00146905"/>
    <w:rsid w:val="0014736E"/>
    <w:rsid w:val="0015084B"/>
    <w:rsid w:val="00151B82"/>
    <w:rsid w:val="00152BAC"/>
    <w:rsid w:val="00152F87"/>
    <w:rsid w:val="00153B91"/>
    <w:rsid w:val="001553B7"/>
    <w:rsid w:val="0015595B"/>
    <w:rsid w:val="0015745E"/>
    <w:rsid w:val="00161497"/>
    <w:rsid w:val="00162F19"/>
    <w:rsid w:val="0016434F"/>
    <w:rsid w:val="00164366"/>
    <w:rsid w:val="001656DF"/>
    <w:rsid w:val="00165EB2"/>
    <w:rsid w:val="001664A6"/>
    <w:rsid w:val="00166DAF"/>
    <w:rsid w:val="00171F6F"/>
    <w:rsid w:val="00176BDE"/>
    <w:rsid w:val="00177A77"/>
    <w:rsid w:val="00181554"/>
    <w:rsid w:val="00184D3C"/>
    <w:rsid w:val="00185868"/>
    <w:rsid w:val="00190871"/>
    <w:rsid w:val="00190DC7"/>
    <w:rsid w:val="001944AC"/>
    <w:rsid w:val="001944CF"/>
    <w:rsid w:val="00195BD1"/>
    <w:rsid w:val="001A02CB"/>
    <w:rsid w:val="001A0FBA"/>
    <w:rsid w:val="001A2A7C"/>
    <w:rsid w:val="001A4055"/>
    <w:rsid w:val="001A5AE1"/>
    <w:rsid w:val="001A5EB9"/>
    <w:rsid w:val="001A6302"/>
    <w:rsid w:val="001A657C"/>
    <w:rsid w:val="001A6C9B"/>
    <w:rsid w:val="001A73A4"/>
    <w:rsid w:val="001B06DB"/>
    <w:rsid w:val="001B2842"/>
    <w:rsid w:val="001B4B7C"/>
    <w:rsid w:val="001B4DB5"/>
    <w:rsid w:val="001B5CD3"/>
    <w:rsid w:val="001B6048"/>
    <w:rsid w:val="001B6B47"/>
    <w:rsid w:val="001B6CAD"/>
    <w:rsid w:val="001C1FA9"/>
    <w:rsid w:val="001C2003"/>
    <w:rsid w:val="001C36AD"/>
    <w:rsid w:val="001C3966"/>
    <w:rsid w:val="001C4EF8"/>
    <w:rsid w:val="001C5F7F"/>
    <w:rsid w:val="001C76C0"/>
    <w:rsid w:val="001C7D9C"/>
    <w:rsid w:val="001D0CDC"/>
    <w:rsid w:val="001D1241"/>
    <w:rsid w:val="001D15A6"/>
    <w:rsid w:val="001D1A25"/>
    <w:rsid w:val="001D3294"/>
    <w:rsid w:val="001D3BDD"/>
    <w:rsid w:val="001D511D"/>
    <w:rsid w:val="001D5EB3"/>
    <w:rsid w:val="001D6610"/>
    <w:rsid w:val="001D667B"/>
    <w:rsid w:val="001E0B54"/>
    <w:rsid w:val="001E2E3D"/>
    <w:rsid w:val="001E47BF"/>
    <w:rsid w:val="001E4B7E"/>
    <w:rsid w:val="001E65DF"/>
    <w:rsid w:val="001E77C4"/>
    <w:rsid w:val="001E7AD1"/>
    <w:rsid w:val="001F029C"/>
    <w:rsid w:val="001F2562"/>
    <w:rsid w:val="001F2D01"/>
    <w:rsid w:val="001F2D94"/>
    <w:rsid w:val="001F2E50"/>
    <w:rsid w:val="001F4AE8"/>
    <w:rsid w:val="001F5B1E"/>
    <w:rsid w:val="001F6792"/>
    <w:rsid w:val="00204FE8"/>
    <w:rsid w:val="00205876"/>
    <w:rsid w:val="00207931"/>
    <w:rsid w:val="002103AB"/>
    <w:rsid w:val="0021052F"/>
    <w:rsid w:val="00210A0B"/>
    <w:rsid w:val="00215F4E"/>
    <w:rsid w:val="00215F9F"/>
    <w:rsid w:val="0021784E"/>
    <w:rsid w:val="002233A9"/>
    <w:rsid w:val="00223CA8"/>
    <w:rsid w:val="002246C0"/>
    <w:rsid w:val="00224765"/>
    <w:rsid w:val="0022502D"/>
    <w:rsid w:val="00225165"/>
    <w:rsid w:val="00225477"/>
    <w:rsid w:val="0022550C"/>
    <w:rsid w:val="0022611D"/>
    <w:rsid w:val="00230622"/>
    <w:rsid w:val="00230B5A"/>
    <w:rsid w:val="00231864"/>
    <w:rsid w:val="00231A3D"/>
    <w:rsid w:val="00235068"/>
    <w:rsid w:val="00235DB7"/>
    <w:rsid w:val="002373F3"/>
    <w:rsid w:val="00237FA8"/>
    <w:rsid w:val="002467D3"/>
    <w:rsid w:val="00247661"/>
    <w:rsid w:val="00254041"/>
    <w:rsid w:val="00255274"/>
    <w:rsid w:val="00255CC2"/>
    <w:rsid w:val="00257450"/>
    <w:rsid w:val="002577D7"/>
    <w:rsid w:val="002605DF"/>
    <w:rsid w:val="002619C3"/>
    <w:rsid w:val="00265110"/>
    <w:rsid w:val="002655A5"/>
    <w:rsid w:val="00265748"/>
    <w:rsid w:val="002664D7"/>
    <w:rsid w:val="00272C25"/>
    <w:rsid w:val="002741A3"/>
    <w:rsid w:val="002753C4"/>
    <w:rsid w:val="00275BA2"/>
    <w:rsid w:val="00276BCF"/>
    <w:rsid w:val="002776BE"/>
    <w:rsid w:val="00277B96"/>
    <w:rsid w:val="002804FC"/>
    <w:rsid w:val="00283244"/>
    <w:rsid w:val="00283315"/>
    <w:rsid w:val="00287084"/>
    <w:rsid w:val="00287253"/>
    <w:rsid w:val="00287311"/>
    <w:rsid w:val="002877D4"/>
    <w:rsid w:val="0029050C"/>
    <w:rsid w:val="00292D12"/>
    <w:rsid w:val="0029377E"/>
    <w:rsid w:val="00293B14"/>
    <w:rsid w:val="002951EB"/>
    <w:rsid w:val="00295FFB"/>
    <w:rsid w:val="002966CC"/>
    <w:rsid w:val="002972EC"/>
    <w:rsid w:val="002A08D2"/>
    <w:rsid w:val="002A0BD6"/>
    <w:rsid w:val="002A41CC"/>
    <w:rsid w:val="002A4606"/>
    <w:rsid w:val="002A5214"/>
    <w:rsid w:val="002A5AE7"/>
    <w:rsid w:val="002B2628"/>
    <w:rsid w:val="002B30D0"/>
    <w:rsid w:val="002B4AEF"/>
    <w:rsid w:val="002B5BB5"/>
    <w:rsid w:val="002B5D0A"/>
    <w:rsid w:val="002B5E8E"/>
    <w:rsid w:val="002B6448"/>
    <w:rsid w:val="002B6B5B"/>
    <w:rsid w:val="002B6E33"/>
    <w:rsid w:val="002B6F19"/>
    <w:rsid w:val="002B71F6"/>
    <w:rsid w:val="002B7DEC"/>
    <w:rsid w:val="002C0F29"/>
    <w:rsid w:val="002C3141"/>
    <w:rsid w:val="002C49CC"/>
    <w:rsid w:val="002C638B"/>
    <w:rsid w:val="002C7968"/>
    <w:rsid w:val="002D0F12"/>
    <w:rsid w:val="002D2CE9"/>
    <w:rsid w:val="002D364A"/>
    <w:rsid w:val="002D6A5C"/>
    <w:rsid w:val="002E129A"/>
    <w:rsid w:val="002E159B"/>
    <w:rsid w:val="002E4659"/>
    <w:rsid w:val="002E558C"/>
    <w:rsid w:val="002E5C2F"/>
    <w:rsid w:val="002E6978"/>
    <w:rsid w:val="002F273F"/>
    <w:rsid w:val="002F3317"/>
    <w:rsid w:val="002F39BE"/>
    <w:rsid w:val="002F55F8"/>
    <w:rsid w:val="002F7054"/>
    <w:rsid w:val="00302A74"/>
    <w:rsid w:val="00303B06"/>
    <w:rsid w:val="00305FDA"/>
    <w:rsid w:val="00310601"/>
    <w:rsid w:val="00310611"/>
    <w:rsid w:val="00312411"/>
    <w:rsid w:val="00313736"/>
    <w:rsid w:val="003137D6"/>
    <w:rsid w:val="00313887"/>
    <w:rsid w:val="00313C54"/>
    <w:rsid w:val="00314308"/>
    <w:rsid w:val="003145F0"/>
    <w:rsid w:val="0031525E"/>
    <w:rsid w:val="0031574E"/>
    <w:rsid w:val="0031652D"/>
    <w:rsid w:val="00320138"/>
    <w:rsid w:val="00320494"/>
    <w:rsid w:val="00320696"/>
    <w:rsid w:val="00321334"/>
    <w:rsid w:val="00321825"/>
    <w:rsid w:val="00322840"/>
    <w:rsid w:val="00324EC4"/>
    <w:rsid w:val="00325217"/>
    <w:rsid w:val="003256FB"/>
    <w:rsid w:val="003271F4"/>
    <w:rsid w:val="0032765E"/>
    <w:rsid w:val="0033045F"/>
    <w:rsid w:val="003312A6"/>
    <w:rsid w:val="00331987"/>
    <w:rsid w:val="00333AAD"/>
    <w:rsid w:val="00336A80"/>
    <w:rsid w:val="0034080D"/>
    <w:rsid w:val="003412B2"/>
    <w:rsid w:val="003414B3"/>
    <w:rsid w:val="0034220B"/>
    <w:rsid w:val="00344599"/>
    <w:rsid w:val="00344895"/>
    <w:rsid w:val="00344946"/>
    <w:rsid w:val="003466DF"/>
    <w:rsid w:val="00350AD4"/>
    <w:rsid w:val="0035217E"/>
    <w:rsid w:val="0035251E"/>
    <w:rsid w:val="00357B7F"/>
    <w:rsid w:val="00360AD7"/>
    <w:rsid w:val="00364697"/>
    <w:rsid w:val="003649E1"/>
    <w:rsid w:val="00371DDE"/>
    <w:rsid w:val="00372118"/>
    <w:rsid w:val="003728A0"/>
    <w:rsid w:val="0037769E"/>
    <w:rsid w:val="003805F7"/>
    <w:rsid w:val="003811CE"/>
    <w:rsid w:val="00381901"/>
    <w:rsid w:val="00382C82"/>
    <w:rsid w:val="003846C0"/>
    <w:rsid w:val="00385649"/>
    <w:rsid w:val="00385853"/>
    <w:rsid w:val="00385A47"/>
    <w:rsid w:val="00387083"/>
    <w:rsid w:val="003871C0"/>
    <w:rsid w:val="00390335"/>
    <w:rsid w:val="00393D68"/>
    <w:rsid w:val="00394B21"/>
    <w:rsid w:val="00394F57"/>
    <w:rsid w:val="0039629B"/>
    <w:rsid w:val="00396E40"/>
    <w:rsid w:val="00397202"/>
    <w:rsid w:val="003A12E4"/>
    <w:rsid w:val="003A1C1F"/>
    <w:rsid w:val="003A220B"/>
    <w:rsid w:val="003A5D78"/>
    <w:rsid w:val="003A6321"/>
    <w:rsid w:val="003A66DD"/>
    <w:rsid w:val="003B1C37"/>
    <w:rsid w:val="003B33AB"/>
    <w:rsid w:val="003B3467"/>
    <w:rsid w:val="003B3C46"/>
    <w:rsid w:val="003B4E2D"/>
    <w:rsid w:val="003B5F8B"/>
    <w:rsid w:val="003B62DF"/>
    <w:rsid w:val="003B761F"/>
    <w:rsid w:val="003C0411"/>
    <w:rsid w:val="003C1D9A"/>
    <w:rsid w:val="003C2C61"/>
    <w:rsid w:val="003C370D"/>
    <w:rsid w:val="003C3931"/>
    <w:rsid w:val="003C68F1"/>
    <w:rsid w:val="003C70E4"/>
    <w:rsid w:val="003D078A"/>
    <w:rsid w:val="003D0D23"/>
    <w:rsid w:val="003D17A4"/>
    <w:rsid w:val="003D2346"/>
    <w:rsid w:val="003D292B"/>
    <w:rsid w:val="003D304A"/>
    <w:rsid w:val="003D4250"/>
    <w:rsid w:val="003D532B"/>
    <w:rsid w:val="003E0E7F"/>
    <w:rsid w:val="003E121A"/>
    <w:rsid w:val="003E1EFC"/>
    <w:rsid w:val="003E5BAC"/>
    <w:rsid w:val="003E604E"/>
    <w:rsid w:val="003E6D06"/>
    <w:rsid w:val="003F177E"/>
    <w:rsid w:val="003F1D6C"/>
    <w:rsid w:val="003F2846"/>
    <w:rsid w:val="003F5B19"/>
    <w:rsid w:val="003F5F0C"/>
    <w:rsid w:val="003F6B92"/>
    <w:rsid w:val="003F77AF"/>
    <w:rsid w:val="004004FF"/>
    <w:rsid w:val="004006CB"/>
    <w:rsid w:val="00400710"/>
    <w:rsid w:val="004007DB"/>
    <w:rsid w:val="00401EBE"/>
    <w:rsid w:val="00404F63"/>
    <w:rsid w:val="00405BA6"/>
    <w:rsid w:val="00412691"/>
    <w:rsid w:val="00413687"/>
    <w:rsid w:val="004171A1"/>
    <w:rsid w:val="00417D44"/>
    <w:rsid w:val="004218DB"/>
    <w:rsid w:val="00422B89"/>
    <w:rsid w:val="0042536B"/>
    <w:rsid w:val="00426A6D"/>
    <w:rsid w:val="00426AB6"/>
    <w:rsid w:val="004273FA"/>
    <w:rsid w:val="00430F37"/>
    <w:rsid w:val="004321FC"/>
    <w:rsid w:val="004324BE"/>
    <w:rsid w:val="0043302A"/>
    <w:rsid w:val="00433735"/>
    <w:rsid w:val="00434311"/>
    <w:rsid w:val="00436B9A"/>
    <w:rsid w:val="00436CA7"/>
    <w:rsid w:val="004414DC"/>
    <w:rsid w:val="00441CE7"/>
    <w:rsid w:val="00441FBB"/>
    <w:rsid w:val="00442E94"/>
    <w:rsid w:val="0044617A"/>
    <w:rsid w:val="00446EE8"/>
    <w:rsid w:val="004506A1"/>
    <w:rsid w:val="00450D7D"/>
    <w:rsid w:val="00453014"/>
    <w:rsid w:val="0045392B"/>
    <w:rsid w:val="00453AC6"/>
    <w:rsid w:val="00456E66"/>
    <w:rsid w:val="00460B69"/>
    <w:rsid w:val="00460DF0"/>
    <w:rsid w:val="00463072"/>
    <w:rsid w:val="00464947"/>
    <w:rsid w:val="00466761"/>
    <w:rsid w:val="004718D1"/>
    <w:rsid w:val="00471BBC"/>
    <w:rsid w:val="004727EC"/>
    <w:rsid w:val="0047592D"/>
    <w:rsid w:val="00480790"/>
    <w:rsid w:val="00481814"/>
    <w:rsid w:val="00482607"/>
    <w:rsid w:val="0048352D"/>
    <w:rsid w:val="00483872"/>
    <w:rsid w:val="00484904"/>
    <w:rsid w:val="00486147"/>
    <w:rsid w:val="00486644"/>
    <w:rsid w:val="00486D42"/>
    <w:rsid w:val="004870B0"/>
    <w:rsid w:val="00487375"/>
    <w:rsid w:val="004874C5"/>
    <w:rsid w:val="0049251B"/>
    <w:rsid w:val="00493A09"/>
    <w:rsid w:val="00494253"/>
    <w:rsid w:val="00496221"/>
    <w:rsid w:val="004A01B6"/>
    <w:rsid w:val="004A1F51"/>
    <w:rsid w:val="004A23AC"/>
    <w:rsid w:val="004A511B"/>
    <w:rsid w:val="004A556B"/>
    <w:rsid w:val="004A5D87"/>
    <w:rsid w:val="004A6405"/>
    <w:rsid w:val="004A7C4D"/>
    <w:rsid w:val="004B074C"/>
    <w:rsid w:val="004B0907"/>
    <w:rsid w:val="004B3E31"/>
    <w:rsid w:val="004B78D5"/>
    <w:rsid w:val="004B7AE6"/>
    <w:rsid w:val="004C00CE"/>
    <w:rsid w:val="004C0252"/>
    <w:rsid w:val="004C22E4"/>
    <w:rsid w:val="004C3829"/>
    <w:rsid w:val="004C4BC0"/>
    <w:rsid w:val="004C7EAA"/>
    <w:rsid w:val="004D02A5"/>
    <w:rsid w:val="004D0452"/>
    <w:rsid w:val="004D173D"/>
    <w:rsid w:val="004D1D83"/>
    <w:rsid w:val="004D30DD"/>
    <w:rsid w:val="004D3480"/>
    <w:rsid w:val="004D4500"/>
    <w:rsid w:val="004D5265"/>
    <w:rsid w:val="004D75F2"/>
    <w:rsid w:val="004D7C5A"/>
    <w:rsid w:val="004E1159"/>
    <w:rsid w:val="004E2294"/>
    <w:rsid w:val="004E72F4"/>
    <w:rsid w:val="004F01CD"/>
    <w:rsid w:val="004F1DB2"/>
    <w:rsid w:val="004F1EAC"/>
    <w:rsid w:val="004F203D"/>
    <w:rsid w:val="004F2787"/>
    <w:rsid w:val="004F3129"/>
    <w:rsid w:val="004F321A"/>
    <w:rsid w:val="004F371E"/>
    <w:rsid w:val="004F3E22"/>
    <w:rsid w:val="004F4852"/>
    <w:rsid w:val="004F48F7"/>
    <w:rsid w:val="004F4E15"/>
    <w:rsid w:val="004F5320"/>
    <w:rsid w:val="004F797E"/>
    <w:rsid w:val="00500F1E"/>
    <w:rsid w:val="00502CBD"/>
    <w:rsid w:val="005059FD"/>
    <w:rsid w:val="00506453"/>
    <w:rsid w:val="00507346"/>
    <w:rsid w:val="0051041D"/>
    <w:rsid w:val="00512097"/>
    <w:rsid w:val="005149C4"/>
    <w:rsid w:val="00515866"/>
    <w:rsid w:val="00516224"/>
    <w:rsid w:val="0051643B"/>
    <w:rsid w:val="00516C29"/>
    <w:rsid w:val="005172D7"/>
    <w:rsid w:val="00521F6F"/>
    <w:rsid w:val="00526A53"/>
    <w:rsid w:val="00532448"/>
    <w:rsid w:val="005324E0"/>
    <w:rsid w:val="00534492"/>
    <w:rsid w:val="00534D64"/>
    <w:rsid w:val="00535EB7"/>
    <w:rsid w:val="0054012A"/>
    <w:rsid w:val="00541269"/>
    <w:rsid w:val="00541780"/>
    <w:rsid w:val="00542653"/>
    <w:rsid w:val="005429AA"/>
    <w:rsid w:val="00542A18"/>
    <w:rsid w:val="0054381A"/>
    <w:rsid w:val="00543D50"/>
    <w:rsid w:val="005462E5"/>
    <w:rsid w:val="00551666"/>
    <w:rsid w:val="00551735"/>
    <w:rsid w:val="00551AAD"/>
    <w:rsid w:val="005534A4"/>
    <w:rsid w:val="00553CCB"/>
    <w:rsid w:val="005558AC"/>
    <w:rsid w:val="005561E7"/>
    <w:rsid w:val="005619C6"/>
    <w:rsid w:val="005630F1"/>
    <w:rsid w:val="00566472"/>
    <w:rsid w:val="005678EB"/>
    <w:rsid w:val="00571A16"/>
    <w:rsid w:val="00572C02"/>
    <w:rsid w:val="00572D54"/>
    <w:rsid w:val="00572D8D"/>
    <w:rsid w:val="00573E71"/>
    <w:rsid w:val="005741F6"/>
    <w:rsid w:val="00574618"/>
    <w:rsid w:val="00575B42"/>
    <w:rsid w:val="00576C62"/>
    <w:rsid w:val="00580E18"/>
    <w:rsid w:val="0058208E"/>
    <w:rsid w:val="00583033"/>
    <w:rsid w:val="0058312B"/>
    <w:rsid w:val="0058377E"/>
    <w:rsid w:val="00583DDD"/>
    <w:rsid w:val="00584483"/>
    <w:rsid w:val="005844CE"/>
    <w:rsid w:val="00586DA8"/>
    <w:rsid w:val="00586EF3"/>
    <w:rsid w:val="00590102"/>
    <w:rsid w:val="005907A5"/>
    <w:rsid w:val="00592578"/>
    <w:rsid w:val="00595848"/>
    <w:rsid w:val="0059633A"/>
    <w:rsid w:val="005A036A"/>
    <w:rsid w:val="005A08C0"/>
    <w:rsid w:val="005A2831"/>
    <w:rsid w:val="005A28C2"/>
    <w:rsid w:val="005A3773"/>
    <w:rsid w:val="005A38D4"/>
    <w:rsid w:val="005A3FD8"/>
    <w:rsid w:val="005A4B83"/>
    <w:rsid w:val="005A50C9"/>
    <w:rsid w:val="005A54DE"/>
    <w:rsid w:val="005B0B59"/>
    <w:rsid w:val="005B4610"/>
    <w:rsid w:val="005B4A2D"/>
    <w:rsid w:val="005B73BB"/>
    <w:rsid w:val="005C132F"/>
    <w:rsid w:val="005C34BF"/>
    <w:rsid w:val="005C4A0D"/>
    <w:rsid w:val="005C4C57"/>
    <w:rsid w:val="005C69C2"/>
    <w:rsid w:val="005D14E7"/>
    <w:rsid w:val="005D259B"/>
    <w:rsid w:val="005D3E36"/>
    <w:rsid w:val="005D47EC"/>
    <w:rsid w:val="005D48FD"/>
    <w:rsid w:val="005D4900"/>
    <w:rsid w:val="005D49BB"/>
    <w:rsid w:val="005D603A"/>
    <w:rsid w:val="005D6A33"/>
    <w:rsid w:val="005D71F2"/>
    <w:rsid w:val="005D772C"/>
    <w:rsid w:val="005D779E"/>
    <w:rsid w:val="005E0101"/>
    <w:rsid w:val="005E1455"/>
    <w:rsid w:val="005E1BC5"/>
    <w:rsid w:val="005E1CCD"/>
    <w:rsid w:val="005E275F"/>
    <w:rsid w:val="005E40E1"/>
    <w:rsid w:val="005E4B6B"/>
    <w:rsid w:val="005E5DA3"/>
    <w:rsid w:val="005E6844"/>
    <w:rsid w:val="005E6BEE"/>
    <w:rsid w:val="005E7127"/>
    <w:rsid w:val="005F0034"/>
    <w:rsid w:val="005F053F"/>
    <w:rsid w:val="005F0F9F"/>
    <w:rsid w:val="005F1D0E"/>
    <w:rsid w:val="005F1D62"/>
    <w:rsid w:val="005F1F9E"/>
    <w:rsid w:val="005F3193"/>
    <w:rsid w:val="005F555E"/>
    <w:rsid w:val="005F61D3"/>
    <w:rsid w:val="00601215"/>
    <w:rsid w:val="006027E2"/>
    <w:rsid w:val="00602BE3"/>
    <w:rsid w:val="006031D8"/>
    <w:rsid w:val="00603236"/>
    <w:rsid w:val="0060507F"/>
    <w:rsid w:val="00605759"/>
    <w:rsid w:val="00607B1D"/>
    <w:rsid w:val="006106DF"/>
    <w:rsid w:val="0061102B"/>
    <w:rsid w:val="0061192C"/>
    <w:rsid w:val="006135A5"/>
    <w:rsid w:val="00615F8F"/>
    <w:rsid w:val="006219E1"/>
    <w:rsid w:val="00621D89"/>
    <w:rsid w:val="00622C4D"/>
    <w:rsid w:val="0062394F"/>
    <w:rsid w:val="00627EC8"/>
    <w:rsid w:val="00630623"/>
    <w:rsid w:val="00630FD7"/>
    <w:rsid w:val="0063126C"/>
    <w:rsid w:val="006319DF"/>
    <w:rsid w:val="00632889"/>
    <w:rsid w:val="006328D0"/>
    <w:rsid w:val="006332DE"/>
    <w:rsid w:val="00635226"/>
    <w:rsid w:val="00636289"/>
    <w:rsid w:val="00637CAA"/>
    <w:rsid w:val="00640878"/>
    <w:rsid w:val="00641E74"/>
    <w:rsid w:val="00642A5E"/>
    <w:rsid w:val="00643B1B"/>
    <w:rsid w:val="00645BB9"/>
    <w:rsid w:val="0064691D"/>
    <w:rsid w:val="00650222"/>
    <w:rsid w:val="0065055A"/>
    <w:rsid w:val="00651939"/>
    <w:rsid w:val="00653F35"/>
    <w:rsid w:val="00654DB5"/>
    <w:rsid w:val="006557A0"/>
    <w:rsid w:val="00655887"/>
    <w:rsid w:val="00655CA7"/>
    <w:rsid w:val="00657537"/>
    <w:rsid w:val="006579E8"/>
    <w:rsid w:val="00657D89"/>
    <w:rsid w:val="006611B6"/>
    <w:rsid w:val="006633AC"/>
    <w:rsid w:val="00663B60"/>
    <w:rsid w:val="00664F23"/>
    <w:rsid w:val="00664FB3"/>
    <w:rsid w:val="006655BC"/>
    <w:rsid w:val="006655DF"/>
    <w:rsid w:val="00665CA9"/>
    <w:rsid w:val="0066637C"/>
    <w:rsid w:val="006665B3"/>
    <w:rsid w:val="006668E9"/>
    <w:rsid w:val="00666E33"/>
    <w:rsid w:val="00670296"/>
    <w:rsid w:val="006709F1"/>
    <w:rsid w:val="006711D2"/>
    <w:rsid w:val="00671BA9"/>
    <w:rsid w:val="00671E00"/>
    <w:rsid w:val="0067331E"/>
    <w:rsid w:val="00673B74"/>
    <w:rsid w:val="00673F63"/>
    <w:rsid w:val="00677E3C"/>
    <w:rsid w:val="00682685"/>
    <w:rsid w:val="0068406A"/>
    <w:rsid w:val="00684E07"/>
    <w:rsid w:val="00684ED5"/>
    <w:rsid w:val="006851AE"/>
    <w:rsid w:val="00686AAA"/>
    <w:rsid w:val="00691261"/>
    <w:rsid w:val="00691347"/>
    <w:rsid w:val="00694215"/>
    <w:rsid w:val="006942E3"/>
    <w:rsid w:val="00694747"/>
    <w:rsid w:val="00695A04"/>
    <w:rsid w:val="00696074"/>
    <w:rsid w:val="0069632D"/>
    <w:rsid w:val="006A03F5"/>
    <w:rsid w:val="006A08A0"/>
    <w:rsid w:val="006A0E7E"/>
    <w:rsid w:val="006A1063"/>
    <w:rsid w:val="006A3A82"/>
    <w:rsid w:val="006A3D60"/>
    <w:rsid w:val="006A47E5"/>
    <w:rsid w:val="006A7A4F"/>
    <w:rsid w:val="006A7C69"/>
    <w:rsid w:val="006B1CC6"/>
    <w:rsid w:val="006B5334"/>
    <w:rsid w:val="006B687C"/>
    <w:rsid w:val="006B699E"/>
    <w:rsid w:val="006B6A80"/>
    <w:rsid w:val="006B7E16"/>
    <w:rsid w:val="006C036D"/>
    <w:rsid w:val="006C09D1"/>
    <w:rsid w:val="006C7AA3"/>
    <w:rsid w:val="006D0F2E"/>
    <w:rsid w:val="006D375F"/>
    <w:rsid w:val="006D58C4"/>
    <w:rsid w:val="006E120B"/>
    <w:rsid w:val="006E177B"/>
    <w:rsid w:val="006E28D3"/>
    <w:rsid w:val="006E3024"/>
    <w:rsid w:val="006E315A"/>
    <w:rsid w:val="006E34C6"/>
    <w:rsid w:val="006F0EA1"/>
    <w:rsid w:val="006F1497"/>
    <w:rsid w:val="006F1630"/>
    <w:rsid w:val="006F1FB9"/>
    <w:rsid w:val="006F35F8"/>
    <w:rsid w:val="006F371A"/>
    <w:rsid w:val="006F399A"/>
    <w:rsid w:val="006F5319"/>
    <w:rsid w:val="006F641C"/>
    <w:rsid w:val="006F6C03"/>
    <w:rsid w:val="006F7389"/>
    <w:rsid w:val="00702E43"/>
    <w:rsid w:val="00704514"/>
    <w:rsid w:val="00704C7D"/>
    <w:rsid w:val="00705839"/>
    <w:rsid w:val="00705B18"/>
    <w:rsid w:val="00705C9D"/>
    <w:rsid w:val="00706810"/>
    <w:rsid w:val="007075FB"/>
    <w:rsid w:val="00710E64"/>
    <w:rsid w:val="0071180E"/>
    <w:rsid w:val="0071193C"/>
    <w:rsid w:val="0071198D"/>
    <w:rsid w:val="00712C34"/>
    <w:rsid w:val="007146BC"/>
    <w:rsid w:val="00714867"/>
    <w:rsid w:val="00715927"/>
    <w:rsid w:val="00717789"/>
    <w:rsid w:val="00721FC9"/>
    <w:rsid w:val="00723372"/>
    <w:rsid w:val="00725597"/>
    <w:rsid w:val="00726471"/>
    <w:rsid w:val="007273D0"/>
    <w:rsid w:val="00731551"/>
    <w:rsid w:val="00731622"/>
    <w:rsid w:val="00732230"/>
    <w:rsid w:val="007341A1"/>
    <w:rsid w:val="0073635C"/>
    <w:rsid w:val="00740D71"/>
    <w:rsid w:val="00741A30"/>
    <w:rsid w:val="00742350"/>
    <w:rsid w:val="007431B2"/>
    <w:rsid w:val="00743770"/>
    <w:rsid w:val="00743CB4"/>
    <w:rsid w:val="00746883"/>
    <w:rsid w:val="0074783E"/>
    <w:rsid w:val="00750346"/>
    <w:rsid w:val="00751674"/>
    <w:rsid w:val="00751F18"/>
    <w:rsid w:val="00752609"/>
    <w:rsid w:val="00752BA6"/>
    <w:rsid w:val="0075349B"/>
    <w:rsid w:val="0075354E"/>
    <w:rsid w:val="00754698"/>
    <w:rsid w:val="00754FAB"/>
    <w:rsid w:val="0075561A"/>
    <w:rsid w:val="0075564C"/>
    <w:rsid w:val="00761689"/>
    <w:rsid w:val="0076216A"/>
    <w:rsid w:val="00763834"/>
    <w:rsid w:val="0076418F"/>
    <w:rsid w:val="00764A1A"/>
    <w:rsid w:val="00764DE6"/>
    <w:rsid w:val="0077179D"/>
    <w:rsid w:val="00771F05"/>
    <w:rsid w:val="007740C2"/>
    <w:rsid w:val="00776D7C"/>
    <w:rsid w:val="00777F5B"/>
    <w:rsid w:val="007811D0"/>
    <w:rsid w:val="00781656"/>
    <w:rsid w:val="007818D5"/>
    <w:rsid w:val="0078206D"/>
    <w:rsid w:val="00782322"/>
    <w:rsid w:val="0078284F"/>
    <w:rsid w:val="00783584"/>
    <w:rsid w:val="00783966"/>
    <w:rsid w:val="00783DB7"/>
    <w:rsid w:val="00784FA5"/>
    <w:rsid w:val="00785FA4"/>
    <w:rsid w:val="00786131"/>
    <w:rsid w:val="007863A2"/>
    <w:rsid w:val="007902DF"/>
    <w:rsid w:val="007906F6"/>
    <w:rsid w:val="00791014"/>
    <w:rsid w:val="007914B6"/>
    <w:rsid w:val="00791CB9"/>
    <w:rsid w:val="00792332"/>
    <w:rsid w:val="0079491E"/>
    <w:rsid w:val="007953DE"/>
    <w:rsid w:val="0079650D"/>
    <w:rsid w:val="00796686"/>
    <w:rsid w:val="007A092F"/>
    <w:rsid w:val="007A0A34"/>
    <w:rsid w:val="007A2A1B"/>
    <w:rsid w:val="007A2EC4"/>
    <w:rsid w:val="007A3526"/>
    <w:rsid w:val="007A3D2E"/>
    <w:rsid w:val="007A5FC9"/>
    <w:rsid w:val="007A6176"/>
    <w:rsid w:val="007A7431"/>
    <w:rsid w:val="007A77A6"/>
    <w:rsid w:val="007A79CF"/>
    <w:rsid w:val="007B0925"/>
    <w:rsid w:val="007B0DD1"/>
    <w:rsid w:val="007B10B0"/>
    <w:rsid w:val="007B2879"/>
    <w:rsid w:val="007B4F96"/>
    <w:rsid w:val="007B66A0"/>
    <w:rsid w:val="007B6947"/>
    <w:rsid w:val="007B6A50"/>
    <w:rsid w:val="007C0587"/>
    <w:rsid w:val="007C058E"/>
    <w:rsid w:val="007C074A"/>
    <w:rsid w:val="007C1160"/>
    <w:rsid w:val="007C1579"/>
    <w:rsid w:val="007C2CE4"/>
    <w:rsid w:val="007C3A6E"/>
    <w:rsid w:val="007C3DDE"/>
    <w:rsid w:val="007C52E2"/>
    <w:rsid w:val="007C6D55"/>
    <w:rsid w:val="007C7D6D"/>
    <w:rsid w:val="007D0A40"/>
    <w:rsid w:val="007D0DDA"/>
    <w:rsid w:val="007D11FD"/>
    <w:rsid w:val="007D1375"/>
    <w:rsid w:val="007D2C9C"/>
    <w:rsid w:val="007D2F0C"/>
    <w:rsid w:val="007D3C7F"/>
    <w:rsid w:val="007D5651"/>
    <w:rsid w:val="007D5D3B"/>
    <w:rsid w:val="007D6FC0"/>
    <w:rsid w:val="007D763D"/>
    <w:rsid w:val="007D77B0"/>
    <w:rsid w:val="007E0A47"/>
    <w:rsid w:val="007E1283"/>
    <w:rsid w:val="007E1C32"/>
    <w:rsid w:val="007E1F6F"/>
    <w:rsid w:val="007E3FAD"/>
    <w:rsid w:val="007E4857"/>
    <w:rsid w:val="007E67A3"/>
    <w:rsid w:val="007E76E6"/>
    <w:rsid w:val="007F0AE5"/>
    <w:rsid w:val="007F3440"/>
    <w:rsid w:val="007F41F4"/>
    <w:rsid w:val="007F5DA3"/>
    <w:rsid w:val="007F6454"/>
    <w:rsid w:val="007F70C6"/>
    <w:rsid w:val="007F7D59"/>
    <w:rsid w:val="0080056E"/>
    <w:rsid w:val="00801EB1"/>
    <w:rsid w:val="00803945"/>
    <w:rsid w:val="008046CF"/>
    <w:rsid w:val="00805BD4"/>
    <w:rsid w:val="00806C32"/>
    <w:rsid w:val="00806D38"/>
    <w:rsid w:val="008119C4"/>
    <w:rsid w:val="00812870"/>
    <w:rsid w:val="008136FF"/>
    <w:rsid w:val="00813850"/>
    <w:rsid w:val="00813AD5"/>
    <w:rsid w:val="0081563C"/>
    <w:rsid w:val="00816354"/>
    <w:rsid w:val="00816FEB"/>
    <w:rsid w:val="00817A0E"/>
    <w:rsid w:val="008202C6"/>
    <w:rsid w:val="00822251"/>
    <w:rsid w:val="00822268"/>
    <w:rsid w:val="008239DC"/>
    <w:rsid w:val="00825F6B"/>
    <w:rsid w:val="00826DBD"/>
    <w:rsid w:val="0083338E"/>
    <w:rsid w:val="00833A23"/>
    <w:rsid w:val="008345E1"/>
    <w:rsid w:val="00840548"/>
    <w:rsid w:val="008412E9"/>
    <w:rsid w:val="00842CFB"/>
    <w:rsid w:val="00843441"/>
    <w:rsid w:val="00843A3D"/>
    <w:rsid w:val="00844DDB"/>
    <w:rsid w:val="0084587E"/>
    <w:rsid w:val="008461AA"/>
    <w:rsid w:val="0084659A"/>
    <w:rsid w:val="00852A23"/>
    <w:rsid w:val="008537F7"/>
    <w:rsid w:val="0085560C"/>
    <w:rsid w:val="008559CF"/>
    <w:rsid w:val="0085749F"/>
    <w:rsid w:val="00860AF4"/>
    <w:rsid w:val="008617C4"/>
    <w:rsid w:val="00861AAF"/>
    <w:rsid w:val="008622A9"/>
    <w:rsid w:val="008622BF"/>
    <w:rsid w:val="008624C2"/>
    <w:rsid w:val="008634FF"/>
    <w:rsid w:val="008639B0"/>
    <w:rsid w:val="00863FD5"/>
    <w:rsid w:val="0086450C"/>
    <w:rsid w:val="00864E6F"/>
    <w:rsid w:val="00865329"/>
    <w:rsid w:val="0087217A"/>
    <w:rsid w:val="00872843"/>
    <w:rsid w:val="0087486B"/>
    <w:rsid w:val="00874AC9"/>
    <w:rsid w:val="00874ACA"/>
    <w:rsid w:val="00875EEA"/>
    <w:rsid w:val="00876E40"/>
    <w:rsid w:val="00876FA1"/>
    <w:rsid w:val="008831A2"/>
    <w:rsid w:val="00883E19"/>
    <w:rsid w:val="00884144"/>
    <w:rsid w:val="00884992"/>
    <w:rsid w:val="008852D8"/>
    <w:rsid w:val="0088661C"/>
    <w:rsid w:val="008866ED"/>
    <w:rsid w:val="00891227"/>
    <w:rsid w:val="008912E8"/>
    <w:rsid w:val="0089152F"/>
    <w:rsid w:val="008935C1"/>
    <w:rsid w:val="008972D1"/>
    <w:rsid w:val="008A13F8"/>
    <w:rsid w:val="008A23D3"/>
    <w:rsid w:val="008A2CC1"/>
    <w:rsid w:val="008A2F15"/>
    <w:rsid w:val="008A3449"/>
    <w:rsid w:val="008A6800"/>
    <w:rsid w:val="008A6F68"/>
    <w:rsid w:val="008B1342"/>
    <w:rsid w:val="008B1E42"/>
    <w:rsid w:val="008B2FE2"/>
    <w:rsid w:val="008B3161"/>
    <w:rsid w:val="008B3CB7"/>
    <w:rsid w:val="008B3D7F"/>
    <w:rsid w:val="008B6EAD"/>
    <w:rsid w:val="008C007B"/>
    <w:rsid w:val="008C00BE"/>
    <w:rsid w:val="008C0272"/>
    <w:rsid w:val="008C0AE2"/>
    <w:rsid w:val="008C282B"/>
    <w:rsid w:val="008C3C70"/>
    <w:rsid w:val="008C4302"/>
    <w:rsid w:val="008C4690"/>
    <w:rsid w:val="008C7E01"/>
    <w:rsid w:val="008D1605"/>
    <w:rsid w:val="008D1AB8"/>
    <w:rsid w:val="008D1DA2"/>
    <w:rsid w:val="008D1DD7"/>
    <w:rsid w:val="008D418C"/>
    <w:rsid w:val="008D5382"/>
    <w:rsid w:val="008D714A"/>
    <w:rsid w:val="008D7343"/>
    <w:rsid w:val="008E0EF6"/>
    <w:rsid w:val="008E2185"/>
    <w:rsid w:val="008E2B72"/>
    <w:rsid w:val="008E33F5"/>
    <w:rsid w:val="008E3B2F"/>
    <w:rsid w:val="008E4E58"/>
    <w:rsid w:val="008E6BC8"/>
    <w:rsid w:val="008E7D4F"/>
    <w:rsid w:val="008F14FD"/>
    <w:rsid w:val="008F294C"/>
    <w:rsid w:val="008F35D4"/>
    <w:rsid w:val="008F3F13"/>
    <w:rsid w:val="008F4E7D"/>
    <w:rsid w:val="008F6081"/>
    <w:rsid w:val="008F6A2D"/>
    <w:rsid w:val="00900BB7"/>
    <w:rsid w:val="00901672"/>
    <w:rsid w:val="0090424D"/>
    <w:rsid w:val="00905209"/>
    <w:rsid w:val="00911676"/>
    <w:rsid w:val="00911A6B"/>
    <w:rsid w:val="00913D66"/>
    <w:rsid w:val="0091513B"/>
    <w:rsid w:val="0091549A"/>
    <w:rsid w:val="009164C1"/>
    <w:rsid w:val="00917D21"/>
    <w:rsid w:val="00920FAB"/>
    <w:rsid w:val="00921A82"/>
    <w:rsid w:val="00922CC8"/>
    <w:rsid w:val="00923E6E"/>
    <w:rsid w:val="0092414F"/>
    <w:rsid w:val="00926A98"/>
    <w:rsid w:val="00926B2B"/>
    <w:rsid w:val="00927E0B"/>
    <w:rsid w:val="00930D25"/>
    <w:rsid w:val="00932EA3"/>
    <w:rsid w:val="00934867"/>
    <w:rsid w:val="009348CA"/>
    <w:rsid w:val="00934C36"/>
    <w:rsid w:val="009364F2"/>
    <w:rsid w:val="0094133C"/>
    <w:rsid w:val="00941FFD"/>
    <w:rsid w:val="009420D4"/>
    <w:rsid w:val="009423F6"/>
    <w:rsid w:val="00943B47"/>
    <w:rsid w:val="00947C35"/>
    <w:rsid w:val="00947E3A"/>
    <w:rsid w:val="0095074F"/>
    <w:rsid w:val="00951709"/>
    <w:rsid w:val="009539AA"/>
    <w:rsid w:val="00953FF2"/>
    <w:rsid w:val="00954759"/>
    <w:rsid w:val="00955BF2"/>
    <w:rsid w:val="0095728D"/>
    <w:rsid w:val="009573BC"/>
    <w:rsid w:val="009612D9"/>
    <w:rsid w:val="00961455"/>
    <w:rsid w:val="009617F6"/>
    <w:rsid w:val="00962364"/>
    <w:rsid w:val="00963AD0"/>
    <w:rsid w:val="00964B17"/>
    <w:rsid w:val="00965DBE"/>
    <w:rsid w:val="00970386"/>
    <w:rsid w:val="009716E2"/>
    <w:rsid w:val="0097290B"/>
    <w:rsid w:val="00972FB6"/>
    <w:rsid w:val="0097325D"/>
    <w:rsid w:val="00974113"/>
    <w:rsid w:val="00975107"/>
    <w:rsid w:val="009802DA"/>
    <w:rsid w:val="00980F92"/>
    <w:rsid w:val="009814AB"/>
    <w:rsid w:val="009814ED"/>
    <w:rsid w:val="00981532"/>
    <w:rsid w:val="009821A3"/>
    <w:rsid w:val="0098366C"/>
    <w:rsid w:val="009844F3"/>
    <w:rsid w:val="0098569A"/>
    <w:rsid w:val="009858FD"/>
    <w:rsid w:val="00990830"/>
    <w:rsid w:val="00990BC0"/>
    <w:rsid w:val="00991E0F"/>
    <w:rsid w:val="00992634"/>
    <w:rsid w:val="00994617"/>
    <w:rsid w:val="009948E2"/>
    <w:rsid w:val="0099718C"/>
    <w:rsid w:val="0099752E"/>
    <w:rsid w:val="009A4FFB"/>
    <w:rsid w:val="009A575D"/>
    <w:rsid w:val="009A7D58"/>
    <w:rsid w:val="009B0053"/>
    <w:rsid w:val="009B025F"/>
    <w:rsid w:val="009B1436"/>
    <w:rsid w:val="009B46BD"/>
    <w:rsid w:val="009B4D24"/>
    <w:rsid w:val="009B7614"/>
    <w:rsid w:val="009C1894"/>
    <w:rsid w:val="009C1D9B"/>
    <w:rsid w:val="009C2986"/>
    <w:rsid w:val="009C3C02"/>
    <w:rsid w:val="009C4D61"/>
    <w:rsid w:val="009C5748"/>
    <w:rsid w:val="009C6B7B"/>
    <w:rsid w:val="009D1128"/>
    <w:rsid w:val="009D276E"/>
    <w:rsid w:val="009D572F"/>
    <w:rsid w:val="009D69C8"/>
    <w:rsid w:val="009D7BC0"/>
    <w:rsid w:val="009E2464"/>
    <w:rsid w:val="009E3449"/>
    <w:rsid w:val="009E37AA"/>
    <w:rsid w:val="009E6A49"/>
    <w:rsid w:val="009E739D"/>
    <w:rsid w:val="009F07A1"/>
    <w:rsid w:val="009F6088"/>
    <w:rsid w:val="00A004EF"/>
    <w:rsid w:val="00A00E1A"/>
    <w:rsid w:val="00A01956"/>
    <w:rsid w:val="00A02810"/>
    <w:rsid w:val="00A0341E"/>
    <w:rsid w:val="00A05E04"/>
    <w:rsid w:val="00A06B2A"/>
    <w:rsid w:val="00A07791"/>
    <w:rsid w:val="00A07E67"/>
    <w:rsid w:val="00A10B1A"/>
    <w:rsid w:val="00A11813"/>
    <w:rsid w:val="00A124C6"/>
    <w:rsid w:val="00A150D6"/>
    <w:rsid w:val="00A15321"/>
    <w:rsid w:val="00A20B82"/>
    <w:rsid w:val="00A21EE8"/>
    <w:rsid w:val="00A235EE"/>
    <w:rsid w:val="00A25652"/>
    <w:rsid w:val="00A25FB1"/>
    <w:rsid w:val="00A300FD"/>
    <w:rsid w:val="00A30995"/>
    <w:rsid w:val="00A33E16"/>
    <w:rsid w:val="00A34A1F"/>
    <w:rsid w:val="00A34FDA"/>
    <w:rsid w:val="00A355B7"/>
    <w:rsid w:val="00A3631B"/>
    <w:rsid w:val="00A372B8"/>
    <w:rsid w:val="00A40ADC"/>
    <w:rsid w:val="00A40D7E"/>
    <w:rsid w:val="00A43919"/>
    <w:rsid w:val="00A442B8"/>
    <w:rsid w:val="00A45DEA"/>
    <w:rsid w:val="00A5015F"/>
    <w:rsid w:val="00A505A3"/>
    <w:rsid w:val="00A50E77"/>
    <w:rsid w:val="00A5183A"/>
    <w:rsid w:val="00A524E0"/>
    <w:rsid w:val="00A55322"/>
    <w:rsid w:val="00A563BB"/>
    <w:rsid w:val="00A57BD1"/>
    <w:rsid w:val="00A60C22"/>
    <w:rsid w:val="00A63665"/>
    <w:rsid w:val="00A63E1D"/>
    <w:rsid w:val="00A65B5C"/>
    <w:rsid w:val="00A71088"/>
    <w:rsid w:val="00A712AF"/>
    <w:rsid w:val="00A726C6"/>
    <w:rsid w:val="00A72B8D"/>
    <w:rsid w:val="00A74D28"/>
    <w:rsid w:val="00A77594"/>
    <w:rsid w:val="00A80A30"/>
    <w:rsid w:val="00A822DE"/>
    <w:rsid w:val="00A83F17"/>
    <w:rsid w:val="00A85965"/>
    <w:rsid w:val="00A85B7A"/>
    <w:rsid w:val="00A85E08"/>
    <w:rsid w:val="00A8649D"/>
    <w:rsid w:val="00A86AC3"/>
    <w:rsid w:val="00A87906"/>
    <w:rsid w:val="00A91089"/>
    <w:rsid w:val="00A918EB"/>
    <w:rsid w:val="00A94593"/>
    <w:rsid w:val="00A95607"/>
    <w:rsid w:val="00A9562F"/>
    <w:rsid w:val="00A96AE1"/>
    <w:rsid w:val="00AA0383"/>
    <w:rsid w:val="00AA2CF9"/>
    <w:rsid w:val="00AA3B59"/>
    <w:rsid w:val="00AA3DA4"/>
    <w:rsid w:val="00AA4475"/>
    <w:rsid w:val="00AA5DFE"/>
    <w:rsid w:val="00AA6B41"/>
    <w:rsid w:val="00AA70E4"/>
    <w:rsid w:val="00AB0242"/>
    <w:rsid w:val="00AB0510"/>
    <w:rsid w:val="00AB061E"/>
    <w:rsid w:val="00AB0953"/>
    <w:rsid w:val="00AB190E"/>
    <w:rsid w:val="00AB32FE"/>
    <w:rsid w:val="00AB3CF5"/>
    <w:rsid w:val="00AB400B"/>
    <w:rsid w:val="00AB5FA5"/>
    <w:rsid w:val="00AB71FA"/>
    <w:rsid w:val="00AB73E8"/>
    <w:rsid w:val="00AC04B8"/>
    <w:rsid w:val="00AC0719"/>
    <w:rsid w:val="00AC24F2"/>
    <w:rsid w:val="00AC2A58"/>
    <w:rsid w:val="00AC2CDA"/>
    <w:rsid w:val="00AC3E26"/>
    <w:rsid w:val="00AC5760"/>
    <w:rsid w:val="00AC6074"/>
    <w:rsid w:val="00AC73E7"/>
    <w:rsid w:val="00AD21EC"/>
    <w:rsid w:val="00AD3587"/>
    <w:rsid w:val="00AD41EB"/>
    <w:rsid w:val="00AD4558"/>
    <w:rsid w:val="00AD4CB7"/>
    <w:rsid w:val="00AD63E1"/>
    <w:rsid w:val="00AD75A5"/>
    <w:rsid w:val="00AE34FF"/>
    <w:rsid w:val="00AE4E1B"/>
    <w:rsid w:val="00AE4FC2"/>
    <w:rsid w:val="00AE5E49"/>
    <w:rsid w:val="00AE7EE8"/>
    <w:rsid w:val="00AF0D5E"/>
    <w:rsid w:val="00AF10A4"/>
    <w:rsid w:val="00AF1D70"/>
    <w:rsid w:val="00AF2540"/>
    <w:rsid w:val="00AF4083"/>
    <w:rsid w:val="00AF4F08"/>
    <w:rsid w:val="00AF65E6"/>
    <w:rsid w:val="00AF7F98"/>
    <w:rsid w:val="00B000D9"/>
    <w:rsid w:val="00B00C07"/>
    <w:rsid w:val="00B0147D"/>
    <w:rsid w:val="00B03FCE"/>
    <w:rsid w:val="00B06BF8"/>
    <w:rsid w:val="00B11753"/>
    <w:rsid w:val="00B11B63"/>
    <w:rsid w:val="00B11C76"/>
    <w:rsid w:val="00B1247E"/>
    <w:rsid w:val="00B20CF9"/>
    <w:rsid w:val="00B21778"/>
    <w:rsid w:val="00B2268F"/>
    <w:rsid w:val="00B229F0"/>
    <w:rsid w:val="00B23CCF"/>
    <w:rsid w:val="00B25EEB"/>
    <w:rsid w:val="00B266C9"/>
    <w:rsid w:val="00B31BDD"/>
    <w:rsid w:val="00B31DD8"/>
    <w:rsid w:val="00B322D6"/>
    <w:rsid w:val="00B32D3A"/>
    <w:rsid w:val="00B33172"/>
    <w:rsid w:val="00B33DC8"/>
    <w:rsid w:val="00B33E87"/>
    <w:rsid w:val="00B35DE4"/>
    <w:rsid w:val="00B36A02"/>
    <w:rsid w:val="00B37991"/>
    <w:rsid w:val="00B4121D"/>
    <w:rsid w:val="00B41BBC"/>
    <w:rsid w:val="00B4340A"/>
    <w:rsid w:val="00B4357A"/>
    <w:rsid w:val="00B43EE1"/>
    <w:rsid w:val="00B44784"/>
    <w:rsid w:val="00B47116"/>
    <w:rsid w:val="00B50338"/>
    <w:rsid w:val="00B505FF"/>
    <w:rsid w:val="00B50D6C"/>
    <w:rsid w:val="00B52830"/>
    <w:rsid w:val="00B533C9"/>
    <w:rsid w:val="00B556D9"/>
    <w:rsid w:val="00B60CE8"/>
    <w:rsid w:val="00B61FD9"/>
    <w:rsid w:val="00B62B4B"/>
    <w:rsid w:val="00B65232"/>
    <w:rsid w:val="00B656ED"/>
    <w:rsid w:val="00B66ABF"/>
    <w:rsid w:val="00B67869"/>
    <w:rsid w:val="00B679BA"/>
    <w:rsid w:val="00B67CF8"/>
    <w:rsid w:val="00B67E12"/>
    <w:rsid w:val="00B707CD"/>
    <w:rsid w:val="00B72D41"/>
    <w:rsid w:val="00B73350"/>
    <w:rsid w:val="00B73566"/>
    <w:rsid w:val="00B74FEE"/>
    <w:rsid w:val="00B7780D"/>
    <w:rsid w:val="00B779C9"/>
    <w:rsid w:val="00B821A2"/>
    <w:rsid w:val="00B83AC6"/>
    <w:rsid w:val="00B847E2"/>
    <w:rsid w:val="00B861C9"/>
    <w:rsid w:val="00B873BF"/>
    <w:rsid w:val="00B87615"/>
    <w:rsid w:val="00B87BE1"/>
    <w:rsid w:val="00B87EAB"/>
    <w:rsid w:val="00B90D89"/>
    <w:rsid w:val="00B91EE8"/>
    <w:rsid w:val="00B92BBF"/>
    <w:rsid w:val="00B97D9D"/>
    <w:rsid w:val="00BA0389"/>
    <w:rsid w:val="00BA1C33"/>
    <w:rsid w:val="00BA2840"/>
    <w:rsid w:val="00BA2FDC"/>
    <w:rsid w:val="00BA41F1"/>
    <w:rsid w:val="00BA5756"/>
    <w:rsid w:val="00BA67B0"/>
    <w:rsid w:val="00BB1164"/>
    <w:rsid w:val="00BB1F4D"/>
    <w:rsid w:val="00BB306D"/>
    <w:rsid w:val="00BB39F0"/>
    <w:rsid w:val="00BB5431"/>
    <w:rsid w:val="00BC2402"/>
    <w:rsid w:val="00BC32B1"/>
    <w:rsid w:val="00BC4222"/>
    <w:rsid w:val="00BC4950"/>
    <w:rsid w:val="00BC5304"/>
    <w:rsid w:val="00BC6B75"/>
    <w:rsid w:val="00BC7D3E"/>
    <w:rsid w:val="00BD1502"/>
    <w:rsid w:val="00BD1D04"/>
    <w:rsid w:val="00BD4AE4"/>
    <w:rsid w:val="00BD6390"/>
    <w:rsid w:val="00BD7605"/>
    <w:rsid w:val="00BD77B2"/>
    <w:rsid w:val="00BD7B8F"/>
    <w:rsid w:val="00BE11B5"/>
    <w:rsid w:val="00BE3DDA"/>
    <w:rsid w:val="00BE3EFB"/>
    <w:rsid w:val="00BE5CB3"/>
    <w:rsid w:val="00BE7F7D"/>
    <w:rsid w:val="00BF2444"/>
    <w:rsid w:val="00BF2D0A"/>
    <w:rsid w:val="00BF377A"/>
    <w:rsid w:val="00BF3A2D"/>
    <w:rsid w:val="00BF6B4C"/>
    <w:rsid w:val="00BF6BD2"/>
    <w:rsid w:val="00C00541"/>
    <w:rsid w:val="00C00919"/>
    <w:rsid w:val="00C0231D"/>
    <w:rsid w:val="00C02CCE"/>
    <w:rsid w:val="00C02E79"/>
    <w:rsid w:val="00C042C1"/>
    <w:rsid w:val="00C04C21"/>
    <w:rsid w:val="00C05735"/>
    <w:rsid w:val="00C05AF3"/>
    <w:rsid w:val="00C10541"/>
    <w:rsid w:val="00C11E35"/>
    <w:rsid w:val="00C12325"/>
    <w:rsid w:val="00C1379C"/>
    <w:rsid w:val="00C17096"/>
    <w:rsid w:val="00C31934"/>
    <w:rsid w:val="00C319AB"/>
    <w:rsid w:val="00C33F31"/>
    <w:rsid w:val="00C35786"/>
    <w:rsid w:val="00C35FC4"/>
    <w:rsid w:val="00C36B9E"/>
    <w:rsid w:val="00C37524"/>
    <w:rsid w:val="00C40A71"/>
    <w:rsid w:val="00C41A60"/>
    <w:rsid w:val="00C422F7"/>
    <w:rsid w:val="00C4305E"/>
    <w:rsid w:val="00C45698"/>
    <w:rsid w:val="00C4675E"/>
    <w:rsid w:val="00C51310"/>
    <w:rsid w:val="00C522BB"/>
    <w:rsid w:val="00C53480"/>
    <w:rsid w:val="00C54143"/>
    <w:rsid w:val="00C54A19"/>
    <w:rsid w:val="00C557AF"/>
    <w:rsid w:val="00C63B3E"/>
    <w:rsid w:val="00C64FED"/>
    <w:rsid w:val="00C658DE"/>
    <w:rsid w:val="00C70AE6"/>
    <w:rsid w:val="00C72264"/>
    <w:rsid w:val="00C732D1"/>
    <w:rsid w:val="00C739EA"/>
    <w:rsid w:val="00C75AA0"/>
    <w:rsid w:val="00C76D6A"/>
    <w:rsid w:val="00C76E21"/>
    <w:rsid w:val="00C8194F"/>
    <w:rsid w:val="00C81CFB"/>
    <w:rsid w:val="00C83117"/>
    <w:rsid w:val="00C83C6D"/>
    <w:rsid w:val="00C86E5A"/>
    <w:rsid w:val="00C87744"/>
    <w:rsid w:val="00C902FA"/>
    <w:rsid w:val="00C90F96"/>
    <w:rsid w:val="00C91EDC"/>
    <w:rsid w:val="00C91F96"/>
    <w:rsid w:val="00C93327"/>
    <w:rsid w:val="00C94115"/>
    <w:rsid w:val="00C95991"/>
    <w:rsid w:val="00C968D2"/>
    <w:rsid w:val="00C97020"/>
    <w:rsid w:val="00C97173"/>
    <w:rsid w:val="00C97F5A"/>
    <w:rsid w:val="00CA01C6"/>
    <w:rsid w:val="00CA0C04"/>
    <w:rsid w:val="00CA3203"/>
    <w:rsid w:val="00CB0163"/>
    <w:rsid w:val="00CB0C61"/>
    <w:rsid w:val="00CB0EAC"/>
    <w:rsid w:val="00CB24CA"/>
    <w:rsid w:val="00CB387A"/>
    <w:rsid w:val="00CB4755"/>
    <w:rsid w:val="00CB5323"/>
    <w:rsid w:val="00CB5A3D"/>
    <w:rsid w:val="00CB7537"/>
    <w:rsid w:val="00CB76EB"/>
    <w:rsid w:val="00CB7A95"/>
    <w:rsid w:val="00CC283D"/>
    <w:rsid w:val="00CC3812"/>
    <w:rsid w:val="00CC496A"/>
    <w:rsid w:val="00CC54FC"/>
    <w:rsid w:val="00CC6268"/>
    <w:rsid w:val="00CC7B6C"/>
    <w:rsid w:val="00CD106A"/>
    <w:rsid w:val="00CD14C3"/>
    <w:rsid w:val="00CD1F7D"/>
    <w:rsid w:val="00CD33D9"/>
    <w:rsid w:val="00CD33E4"/>
    <w:rsid w:val="00CD6C83"/>
    <w:rsid w:val="00CD6F35"/>
    <w:rsid w:val="00CE0867"/>
    <w:rsid w:val="00CE4C81"/>
    <w:rsid w:val="00CE60A8"/>
    <w:rsid w:val="00CE763C"/>
    <w:rsid w:val="00CE7B82"/>
    <w:rsid w:val="00CE7E9D"/>
    <w:rsid w:val="00CF125D"/>
    <w:rsid w:val="00CF160F"/>
    <w:rsid w:val="00CF7F33"/>
    <w:rsid w:val="00D008A5"/>
    <w:rsid w:val="00D01D9E"/>
    <w:rsid w:val="00D06259"/>
    <w:rsid w:val="00D06F2C"/>
    <w:rsid w:val="00D07A4B"/>
    <w:rsid w:val="00D13C04"/>
    <w:rsid w:val="00D16064"/>
    <w:rsid w:val="00D17449"/>
    <w:rsid w:val="00D17C99"/>
    <w:rsid w:val="00D260BE"/>
    <w:rsid w:val="00D2669B"/>
    <w:rsid w:val="00D31ED8"/>
    <w:rsid w:val="00D32BE0"/>
    <w:rsid w:val="00D32EA0"/>
    <w:rsid w:val="00D3397B"/>
    <w:rsid w:val="00D33EAF"/>
    <w:rsid w:val="00D34CA6"/>
    <w:rsid w:val="00D35903"/>
    <w:rsid w:val="00D41548"/>
    <w:rsid w:val="00D43B8B"/>
    <w:rsid w:val="00D457AC"/>
    <w:rsid w:val="00D45B57"/>
    <w:rsid w:val="00D45E59"/>
    <w:rsid w:val="00D45FAC"/>
    <w:rsid w:val="00D511D0"/>
    <w:rsid w:val="00D51843"/>
    <w:rsid w:val="00D51B23"/>
    <w:rsid w:val="00D51EE9"/>
    <w:rsid w:val="00D53D88"/>
    <w:rsid w:val="00D54FAD"/>
    <w:rsid w:val="00D572B2"/>
    <w:rsid w:val="00D57EE3"/>
    <w:rsid w:val="00D6490F"/>
    <w:rsid w:val="00D655D6"/>
    <w:rsid w:val="00D6587A"/>
    <w:rsid w:val="00D67C7D"/>
    <w:rsid w:val="00D70180"/>
    <w:rsid w:val="00D705C4"/>
    <w:rsid w:val="00D72003"/>
    <w:rsid w:val="00D72283"/>
    <w:rsid w:val="00D72BEE"/>
    <w:rsid w:val="00D73050"/>
    <w:rsid w:val="00D73136"/>
    <w:rsid w:val="00D73814"/>
    <w:rsid w:val="00D74095"/>
    <w:rsid w:val="00D74B70"/>
    <w:rsid w:val="00D7537A"/>
    <w:rsid w:val="00D75927"/>
    <w:rsid w:val="00D76724"/>
    <w:rsid w:val="00D7697F"/>
    <w:rsid w:val="00D77CEA"/>
    <w:rsid w:val="00D77D23"/>
    <w:rsid w:val="00D82A18"/>
    <w:rsid w:val="00D83FA4"/>
    <w:rsid w:val="00D841F0"/>
    <w:rsid w:val="00D84B8D"/>
    <w:rsid w:val="00D8583C"/>
    <w:rsid w:val="00D86FA5"/>
    <w:rsid w:val="00D874E8"/>
    <w:rsid w:val="00D87AD1"/>
    <w:rsid w:val="00D90FE2"/>
    <w:rsid w:val="00D910B0"/>
    <w:rsid w:val="00D9139C"/>
    <w:rsid w:val="00D9207F"/>
    <w:rsid w:val="00D92D5D"/>
    <w:rsid w:val="00D93982"/>
    <w:rsid w:val="00D95F43"/>
    <w:rsid w:val="00D96FB4"/>
    <w:rsid w:val="00DA0585"/>
    <w:rsid w:val="00DA0841"/>
    <w:rsid w:val="00DA157C"/>
    <w:rsid w:val="00DA1E80"/>
    <w:rsid w:val="00DA4F90"/>
    <w:rsid w:val="00DA69B7"/>
    <w:rsid w:val="00DA6CED"/>
    <w:rsid w:val="00DA7F4E"/>
    <w:rsid w:val="00DB0C06"/>
    <w:rsid w:val="00DB0E6E"/>
    <w:rsid w:val="00DB22A8"/>
    <w:rsid w:val="00DB2B61"/>
    <w:rsid w:val="00DB2B69"/>
    <w:rsid w:val="00DB3F35"/>
    <w:rsid w:val="00DB4EFE"/>
    <w:rsid w:val="00DB5776"/>
    <w:rsid w:val="00DB5956"/>
    <w:rsid w:val="00DB5A5D"/>
    <w:rsid w:val="00DB7765"/>
    <w:rsid w:val="00DC0163"/>
    <w:rsid w:val="00DC27A2"/>
    <w:rsid w:val="00DC3B14"/>
    <w:rsid w:val="00DC43D3"/>
    <w:rsid w:val="00DC4779"/>
    <w:rsid w:val="00DC599A"/>
    <w:rsid w:val="00DC65C6"/>
    <w:rsid w:val="00DC6E6A"/>
    <w:rsid w:val="00DC6E6F"/>
    <w:rsid w:val="00DD01C5"/>
    <w:rsid w:val="00DD1523"/>
    <w:rsid w:val="00DD285C"/>
    <w:rsid w:val="00DD3328"/>
    <w:rsid w:val="00DD5198"/>
    <w:rsid w:val="00DD57A4"/>
    <w:rsid w:val="00DD7F76"/>
    <w:rsid w:val="00DE0385"/>
    <w:rsid w:val="00DE045D"/>
    <w:rsid w:val="00DE2688"/>
    <w:rsid w:val="00DE390C"/>
    <w:rsid w:val="00DE7D72"/>
    <w:rsid w:val="00DF0786"/>
    <w:rsid w:val="00DF1074"/>
    <w:rsid w:val="00DF2AEA"/>
    <w:rsid w:val="00DF2DAC"/>
    <w:rsid w:val="00DF4A0C"/>
    <w:rsid w:val="00DF575A"/>
    <w:rsid w:val="00DF5D2F"/>
    <w:rsid w:val="00DF60F7"/>
    <w:rsid w:val="00DF75E8"/>
    <w:rsid w:val="00DF7C15"/>
    <w:rsid w:val="00E01629"/>
    <w:rsid w:val="00E04384"/>
    <w:rsid w:val="00E047B3"/>
    <w:rsid w:val="00E0568E"/>
    <w:rsid w:val="00E06330"/>
    <w:rsid w:val="00E067D2"/>
    <w:rsid w:val="00E0685E"/>
    <w:rsid w:val="00E07965"/>
    <w:rsid w:val="00E07AC1"/>
    <w:rsid w:val="00E10153"/>
    <w:rsid w:val="00E110D9"/>
    <w:rsid w:val="00E11600"/>
    <w:rsid w:val="00E120AF"/>
    <w:rsid w:val="00E12BD2"/>
    <w:rsid w:val="00E143DA"/>
    <w:rsid w:val="00E148F7"/>
    <w:rsid w:val="00E15764"/>
    <w:rsid w:val="00E17AF8"/>
    <w:rsid w:val="00E2022E"/>
    <w:rsid w:val="00E21D37"/>
    <w:rsid w:val="00E257CF"/>
    <w:rsid w:val="00E26060"/>
    <w:rsid w:val="00E26248"/>
    <w:rsid w:val="00E269C4"/>
    <w:rsid w:val="00E30076"/>
    <w:rsid w:val="00E303EB"/>
    <w:rsid w:val="00E3168D"/>
    <w:rsid w:val="00E3252D"/>
    <w:rsid w:val="00E32BD3"/>
    <w:rsid w:val="00E3361B"/>
    <w:rsid w:val="00E3429F"/>
    <w:rsid w:val="00E3494E"/>
    <w:rsid w:val="00E34F9B"/>
    <w:rsid w:val="00E357C9"/>
    <w:rsid w:val="00E362CC"/>
    <w:rsid w:val="00E41A1B"/>
    <w:rsid w:val="00E41BA7"/>
    <w:rsid w:val="00E41D98"/>
    <w:rsid w:val="00E46349"/>
    <w:rsid w:val="00E467B5"/>
    <w:rsid w:val="00E519F8"/>
    <w:rsid w:val="00E534B6"/>
    <w:rsid w:val="00E543B5"/>
    <w:rsid w:val="00E5580E"/>
    <w:rsid w:val="00E56DB6"/>
    <w:rsid w:val="00E61010"/>
    <w:rsid w:val="00E6296B"/>
    <w:rsid w:val="00E62C40"/>
    <w:rsid w:val="00E63311"/>
    <w:rsid w:val="00E6353C"/>
    <w:rsid w:val="00E63A99"/>
    <w:rsid w:val="00E63B29"/>
    <w:rsid w:val="00E64FE2"/>
    <w:rsid w:val="00E656DA"/>
    <w:rsid w:val="00E65DE8"/>
    <w:rsid w:val="00E67EC9"/>
    <w:rsid w:val="00E704A0"/>
    <w:rsid w:val="00E706BF"/>
    <w:rsid w:val="00E728E1"/>
    <w:rsid w:val="00E72BAE"/>
    <w:rsid w:val="00E753CA"/>
    <w:rsid w:val="00E75C11"/>
    <w:rsid w:val="00E8203D"/>
    <w:rsid w:val="00E836A4"/>
    <w:rsid w:val="00E848BB"/>
    <w:rsid w:val="00E84DC1"/>
    <w:rsid w:val="00E91C8C"/>
    <w:rsid w:val="00E92762"/>
    <w:rsid w:val="00E94D6A"/>
    <w:rsid w:val="00E95EBE"/>
    <w:rsid w:val="00E96B2B"/>
    <w:rsid w:val="00EA293C"/>
    <w:rsid w:val="00EA2946"/>
    <w:rsid w:val="00EA5743"/>
    <w:rsid w:val="00EA5F05"/>
    <w:rsid w:val="00EA73FD"/>
    <w:rsid w:val="00EB1835"/>
    <w:rsid w:val="00EB2EDB"/>
    <w:rsid w:val="00EB2EF4"/>
    <w:rsid w:val="00EB5865"/>
    <w:rsid w:val="00EB7654"/>
    <w:rsid w:val="00EB79C4"/>
    <w:rsid w:val="00EB7C98"/>
    <w:rsid w:val="00EB7FC5"/>
    <w:rsid w:val="00EC0025"/>
    <w:rsid w:val="00EC11FC"/>
    <w:rsid w:val="00EC39F3"/>
    <w:rsid w:val="00EC3BB5"/>
    <w:rsid w:val="00EC3CCF"/>
    <w:rsid w:val="00EC4757"/>
    <w:rsid w:val="00EC515A"/>
    <w:rsid w:val="00EC6166"/>
    <w:rsid w:val="00EC63CE"/>
    <w:rsid w:val="00EC75E6"/>
    <w:rsid w:val="00ED0B7C"/>
    <w:rsid w:val="00ED1933"/>
    <w:rsid w:val="00ED1B2A"/>
    <w:rsid w:val="00ED2EC0"/>
    <w:rsid w:val="00ED2FE1"/>
    <w:rsid w:val="00ED33AF"/>
    <w:rsid w:val="00ED3CC4"/>
    <w:rsid w:val="00ED4FEF"/>
    <w:rsid w:val="00ED60FE"/>
    <w:rsid w:val="00ED6CDB"/>
    <w:rsid w:val="00ED799D"/>
    <w:rsid w:val="00EE0458"/>
    <w:rsid w:val="00EE31B2"/>
    <w:rsid w:val="00EE41B3"/>
    <w:rsid w:val="00EE5544"/>
    <w:rsid w:val="00EF02BC"/>
    <w:rsid w:val="00EF0D90"/>
    <w:rsid w:val="00EF254A"/>
    <w:rsid w:val="00EF4A29"/>
    <w:rsid w:val="00EF4BF4"/>
    <w:rsid w:val="00EF5AC0"/>
    <w:rsid w:val="00EF63DD"/>
    <w:rsid w:val="00EF7213"/>
    <w:rsid w:val="00F0363E"/>
    <w:rsid w:val="00F048E2"/>
    <w:rsid w:val="00F04DD7"/>
    <w:rsid w:val="00F071D5"/>
    <w:rsid w:val="00F073D4"/>
    <w:rsid w:val="00F10644"/>
    <w:rsid w:val="00F10E1D"/>
    <w:rsid w:val="00F10F13"/>
    <w:rsid w:val="00F11C16"/>
    <w:rsid w:val="00F14814"/>
    <w:rsid w:val="00F153B6"/>
    <w:rsid w:val="00F15933"/>
    <w:rsid w:val="00F15C71"/>
    <w:rsid w:val="00F16E26"/>
    <w:rsid w:val="00F1767A"/>
    <w:rsid w:val="00F20BF8"/>
    <w:rsid w:val="00F223E2"/>
    <w:rsid w:val="00F23F05"/>
    <w:rsid w:val="00F24AC2"/>
    <w:rsid w:val="00F24DAA"/>
    <w:rsid w:val="00F25170"/>
    <w:rsid w:val="00F26408"/>
    <w:rsid w:val="00F32FC4"/>
    <w:rsid w:val="00F33587"/>
    <w:rsid w:val="00F33ED1"/>
    <w:rsid w:val="00F35697"/>
    <w:rsid w:val="00F35C4A"/>
    <w:rsid w:val="00F35CE9"/>
    <w:rsid w:val="00F36429"/>
    <w:rsid w:val="00F36628"/>
    <w:rsid w:val="00F36A52"/>
    <w:rsid w:val="00F37CEE"/>
    <w:rsid w:val="00F402D8"/>
    <w:rsid w:val="00F44B66"/>
    <w:rsid w:val="00F4565F"/>
    <w:rsid w:val="00F46161"/>
    <w:rsid w:val="00F462D2"/>
    <w:rsid w:val="00F46BED"/>
    <w:rsid w:val="00F46C51"/>
    <w:rsid w:val="00F50E90"/>
    <w:rsid w:val="00F5243B"/>
    <w:rsid w:val="00F527DD"/>
    <w:rsid w:val="00F52C83"/>
    <w:rsid w:val="00F54656"/>
    <w:rsid w:val="00F54E48"/>
    <w:rsid w:val="00F60575"/>
    <w:rsid w:val="00F64476"/>
    <w:rsid w:val="00F6478B"/>
    <w:rsid w:val="00F64F88"/>
    <w:rsid w:val="00F65704"/>
    <w:rsid w:val="00F67015"/>
    <w:rsid w:val="00F67500"/>
    <w:rsid w:val="00F71CC0"/>
    <w:rsid w:val="00F72FAD"/>
    <w:rsid w:val="00F736B1"/>
    <w:rsid w:val="00F74C55"/>
    <w:rsid w:val="00F751CB"/>
    <w:rsid w:val="00F75BFC"/>
    <w:rsid w:val="00F76B04"/>
    <w:rsid w:val="00F83F2E"/>
    <w:rsid w:val="00F84DD3"/>
    <w:rsid w:val="00F85234"/>
    <w:rsid w:val="00F86368"/>
    <w:rsid w:val="00F90EED"/>
    <w:rsid w:val="00F92958"/>
    <w:rsid w:val="00F956C5"/>
    <w:rsid w:val="00F95CE0"/>
    <w:rsid w:val="00F97984"/>
    <w:rsid w:val="00FA28AE"/>
    <w:rsid w:val="00FA2DEC"/>
    <w:rsid w:val="00FA3B71"/>
    <w:rsid w:val="00FA42BB"/>
    <w:rsid w:val="00FA4EF4"/>
    <w:rsid w:val="00FA5365"/>
    <w:rsid w:val="00FB05BB"/>
    <w:rsid w:val="00FB1842"/>
    <w:rsid w:val="00FB25AA"/>
    <w:rsid w:val="00FB3220"/>
    <w:rsid w:val="00FB33C6"/>
    <w:rsid w:val="00FB3C8D"/>
    <w:rsid w:val="00FB5748"/>
    <w:rsid w:val="00FC0C3E"/>
    <w:rsid w:val="00FC294F"/>
    <w:rsid w:val="00FC3168"/>
    <w:rsid w:val="00FC523F"/>
    <w:rsid w:val="00FC7796"/>
    <w:rsid w:val="00FD3993"/>
    <w:rsid w:val="00FE0E10"/>
    <w:rsid w:val="00FE3ADA"/>
    <w:rsid w:val="00FE4A8A"/>
    <w:rsid w:val="00FE5133"/>
    <w:rsid w:val="00FE6FE2"/>
    <w:rsid w:val="00FF0338"/>
    <w:rsid w:val="00FF3D92"/>
    <w:rsid w:val="00FF43D5"/>
    <w:rsid w:val="00FF59C5"/>
    <w:rsid w:val="00FF6155"/>
    <w:rsid w:val="00FF6B5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964D5"/>
  <w15:chartTrackingRefBased/>
  <w15:docId w15:val="{E078C70E-AD09-4160-97FD-D9EFD8C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iPriority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List Number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Hyperlink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F63"/>
    <w:pPr>
      <w:widowControl w:val="0"/>
      <w:jc w:val="both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rsid w:val="005E6B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rsid w:val="005E6BEE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rsid w:val="005E6BEE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rsid w:val="005E6BEE"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unhideWhenUsed/>
    <w:rsid w:val="00923E6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1"/>
    <w:qFormat/>
    <w:rsid w:val="004A7C4D"/>
    <w:pPr>
      <w:keepNext/>
      <w:widowControl/>
      <w:suppressAutoHyphens/>
      <w:ind w:right="-1"/>
      <w:outlineLvl w:val="5"/>
    </w:pPr>
    <w:rPr>
      <w:rFonts w:ascii="Arial" w:hAnsi="Arial"/>
      <w:b/>
      <w:color w:val="000000"/>
      <w:spacing w:val="-2"/>
      <w:sz w:val="24"/>
    </w:rPr>
  </w:style>
  <w:style w:type="paragraph" w:styleId="Ttulo7">
    <w:name w:val="heading 7"/>
    <w:basedOn w:val="Normal"/>
    <w:next w:val="Normal"/>
    <w:link w:val="Ttulo7Car"/>
    <w:rsid w:val="004A7C4D"/>
    <w:pPr>
      <w:keepNext/>
      <w:widowControl/>
      <w:suppressAutoHyphens/>
      <w:ind w:right="-1"/>
      <w:jc w:val="center"/>
      <w:outlineLvl w:val="6"/>
    </w:pPr>
    <w:rPr>
      <w:rFonts w:ascii="Arial" w:hAnsi="Arial"/>
      <w:b/>
      <w:color w:val="000000"/>
      <w:spacing w:val="-2"/>
      <w:sz w:val="24"/>
    </w:rPr>
  </w:style>
  <w:style w:type="paragraph" w:styleId="Ttulo8">
    <w:name w:val="heading 8"/>
    <w:basedOn w:val="Normal"/>
    <w:next w:val="Normal"/>
    <w:link w:val="Ttulo8Car"/>
    <w:rsid w:val="004A7C4D"/>
    <w:pPr>
      <w:keepNext/>
      <w:widowControl/>
      <w:suppressAutoHyphens/>
      <w:ind w:right="-1"/>
      <w:outlineLvl w:val="7"/>
    </w:pPr>
    <w:rPr>
      <w:rFonts w:ascii="Arial" w:hAnsi="Arial"/>
      <w:b/>
      <w:i/>
      <w:color w:val="000000"/>
      <w:spacing w:val="-2"/>
      <w:sz w:val="24"/>
    </w:rPr>
  </w:style>
  <w:style w:type="paragraph" w:styleId="Ttulo9">
    <w:name w:val="heading 9"/>
    <w:basedOn w:val="Normal"/>
    <w:next w:val="Normal"/>
    <w:link w:val="Ttulo9Car"/>
    <w:rsid w:val="004A7C4D"/>
    <w:pPr>
      <w:keepNext/>
      <w:widowControl/>
      <w:suppressAutoHyphens/>
      <w:ind w:right="-1"/>
      <w:outlineLvl w:val="8"/>
    </w:pPr>
    <w:rPr>
      <w:rFonts w:ascii="Arial" w:hAnsi="Arial"/>
      <w:i/>
      <w:color w:val="000000"/>
      <w:spacing w:val="-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A7C4D"/>
    <w:rPr>
      <w:rFonts w:ascii="Arial" w:hAnsi="Arial"/>
      <w:b/>
      <w:kern w:val="28"/>
      <w:sz w:val="28"/>
      <w:lang w:val="es-ES_tradnl" w:eastAsia="es-ES"/>
    </w:rPr>
  </w:style>
  <w:style w:type="character" w:customStyle="1" w:styleId="Ttulo2Car">
    <w:name w:val="Título 2 Car"/>
    <w:link w:val="Ttulo2"/>
    <w:rsid w:val="004A7C4D"/>
    <w:rPr>
      <w:b/>
      <w:sz w:val="24"/>
      <w:lang w:val="es-ES_tradnl" w:eastAsia="es-ES"/>
    </w:rPr>
  </w:style>
  <w:style w:type="character" w:customStyle="1" w:styleId="Ttulo3Car">
    <w:name w:val="Título 3 Car"/>
    <w:link w:val="Ttulo3"/>
    <w:rsid w:val="004A7C4D"/>
    <w:rPr>
      <w:b/>
      <w:lang w:val="es-ES_tradnl" w:eastAsia="es-ES"/>
    </w:rPr>
  </w:style>
  <w:style w:type="character" w:customStyle="1" w:styleId="Ttulo4Car">
    <w:name w:val="Título 4 Car"/>
    <w:link w:val="Ttulo4"/>
    <w:rsid w:val="004A7C4D"/>
    <w:rPr>
      <w:b/>
      <w:sz w:val="24"/>
      <w:lang w:val="es-ES_tradnl" w:eastAsia="es-ES"/>
    </w:rPr>
  </w:style>
  <w:style w:type="character" w:customStyle="1" w:styleId="Ttulo5Car">
    <w:name w:val="Título 5 Car"/>
    <w:link w:val="Ttulo5"/>
    <w:rsid w:val="00923E6E"/>
    <w:rPr>
      <w:rFonts w:ascii="Cambria" w:eastAsia="Times New Roman" w:hAnsi="Cambria" w:cs="Times New Roman"/>
      <w:color w:val="243F60"/>
      <w:lang w:val="es-ES_tradnl" w:eastAsia="es-ES"/>
    </w:rPr>
  </w:style>
  <w:style w:type="character" w:customStyle="1" w:styleId="Ttulo6Car">
    <w:name w:val="Título 6 Car"/>
    <w:link w:val="Ttulo6"/>
    <w:uiPriority w:val="1"/>
    <w:rsid w:val="004A7C4D"/>
    <w:rPr>
      <w:rFonts w:ascii="Arial" w:hAnsi="Arial"/>
      <w:b/>
      <w:color w:val="000000"/>
      <w:spacing w:val="-2"/>
      <w:sz w:val="24"/>
      <w:lang w:val="es-ES_tradnl" w:eastAsia="es-ES"/>
    </w:rPr>
  </w:style>
  <w:style w:type="character" w:customStyle="1" w:styleId="Ttulo7Car">
    <w:name w:val="Título 7 Car"/>
    <w:link w:val="Ttulo7"/>
    <w:rsid w:val="004A7C4D"/>
    <w:rPr>
      <w:rFonts w:ascii="Arial" w:hAnsi="Arial"/>
      <w:b/>
      <w:color w:val="000000"/>
      <w:spacing w:val="-2"/>
      <w:sz w:val="24"/>
      <w:lang w:val="es-ES_tradnl" w:eastAsia="es-ES"/>
    </w:rPr>
  </w:style>
  <w:style w:type="character" w:customStyle="1" w:styleId="Ttulo8Car">
    <w:name w:val="Título 8 Car"/>
    <w:link w:val="Ttulo8"/>
    <w:rsid w:val="004A7C4D"/>
    <w:rPr>
      <w:rFonts w:ascii="Arial" w:hAnsi="Arial"/>
      <w:b/>
      <w:i/>
      <w:color w:val="000000"/>
      <w:spacing w:val="-2"/>
      <w:sz w:val="24"/>
      <w:lang w:val="es-ES_tradnl" w:eastAsia="es-ES"/>
    </w:rPr>
  </w:style>
  <w:style w:type="character" w:customStyle="1" w:styleId="Ttulo9Car">
    <w:name w:val="Título 9 Car"/>
    <w:link w:val="Ttulo9"/>
    <w:rsid w:val="004A7C4D"/>
    <w:rPr>
      <w:rFonts w:ascii="Arial" w:hAnsi="Arial"/>
      <w:i/>
      <w:color w:val="000000"/>
      <w:spacing w:val="-2"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E6B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A7C4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E6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A7C4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23E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23E6E"/>
    <w:rPr>
      <w:rFonts w:ascii="Tahoma" w:hAnsi="Tahoma" w:cs="Tahoma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04F63"/>
    <w:pPr>
      <w:tabs>
        <w:tab w:val="left" w:pos="1418"/>
        <w:tab w:val="right" w:leader="dot" w:pos="8930"/>
      </w:tabs>
      <w:spacing w:before="200"/>
      <w:ind w:left="1418" w:right="1276" w:hanging="851"/>
      <w:jc w:val="left"/>
    </w:pPr>
    <w:rPr>
      <w:b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4F63"/>
    <w:pPr>
      <w:tabs>
        <w:tab w:val="left" w:pos="1418"/>
        <w:tab w:val="right" w:leader="dot" w:pos="8930"/>
      </w:tabs>
      <w:ind w:left="1418" w:right="1276" w:hanging="851"/>
      <w:jc w:val="left"/>
    </w:pPr>
    <w:rPr>
      <w:b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404F63"/>
    <w:pPr>
      <w:widowControl/>
      <w:tabs>
        <w:tab w:val="right" w:leader="dot" w:pos="8930"/>
      </w:tabs>
      <w:spacing w:before="60"/>
      <w:ind w:left="567" w:right="1276"/>
      <w:jc w:val="left"/>
    </w:pPr>
    <w:rPr>
      <w:b/>
      <w:szCs w:val="22"/>
      <w:lang w:eastAsia="es-ES_tradnl"/>
    </w:rPr>
  </w:style>
  <w:style w:type="paragraph" w:styleId="TDC8">
    <w:name w:val="toc 8"/>
    <w:basedOn w:val="Normal"/>
    <w:next w:val="Normal"/>
    <w:autoRedefine/>
    <w:uiPriority w:val="39"/>
    <w:unhideWhenUsed/>
    <w:qFormat/>
    <w:rsid w:val="00404F63"/>
    <w:pPr>
      <w:tabs>
        <w:tab w:val="right" w:leader="dot" w:pos="8930"/>
      </w:tabs>
      <w:spacing w:before="200"/>
      <w:ind w:left="567" w:right="1276"/>
      <w:jc w:val="left"/>
    </w:pPr>
    <w:rPr>
      <w:b/>
    </w:rPr>
  </w:style>
  <w:style w:type="paragraph" w:styleId="TDC9">
    <w:name w:val="toc 9"/>
    <w:basedOn w:val="Normal"/>
    <w:next w:val="Normal"/>
    <w:autoRedefine/>
    <w:uiPriority w:val="39"/>
    <w:unhideWhenUsed/>
    <w:qFormat/>
    <w:rsid w:val="00404F63"/>
    <w:pPr>
      <w:tabs>
        <w:tab w:val="left" w:pos="2835"/>
        <w:tab w:val="right" w:leader="dot" w:pos="8930"/>
      </w:tabs>
      <w:spacing w:before="200"/>
      <w:ind w:left="2835" w:right="1276" w:hanging="2268"/>
      <w:jc w:val="left"/>
    </w:pPr>
    <w:rPr>
      <w:b/>
    </w:rPr>
  </w:style>
  <w:style w:type="paragraph" w:customStyle="1" w:styleId="AnexoZ">
    <w:name w:val="Anexo Z"/>
    <w:basedOn w:val="Anexo"/>
    <w:next w:val="Normal"/>
    <w:qFormat/>
    <w:rsid w:val="00404F63"/>
  </w:style>
  <w:style w:type="paragraph" w:customStyle="1" w:styleId="Anexo">
    <w:name w:val="Anexo"/>
    <w:basedOn w:val="Normal"/>
    <w:next w:val="Normal"/>
    <w:qFormat/>
    <w:rsid w:val="00404F63"/>
    <w:pPr>
      <w:spacing w:after="760"/>
      <w:jc w:val="center"/>
    </w:pPr>
    <w:rPr>
      <w:b/>
      <w:sz w:val="28"/>
    </w:rPr>
  </w:style>
  <w:style w:type="paragraph" w:customStyle="1" w:styleId="Ttulocentro">
    <w:name w:val="Título centro"/>
    <w:basedOn w:val="Normal"/>
    <w:next w:val="Normal"/>
    <w:qFormat/>
    <w:rsid w:val="00404F63"/>
    <w:pPr>
      <w:spacing w:after="480"/>
      <w:jc w:val="center"/>
    </w:pPr>
    <w:rPr>
      <w:b/>
      <w:bCs/>
      <w:sz w:val="28"/>
    </w:rPr>
  </w:style>
  <w:style w:type="paragraph" w:customStyle="1" w:styleId="A1">
    <w:name w:val="A.1"/>
    <w:basedOn w:val="Normal"/>
    <w:next w:val="Normal"/>
    <w:qFormat/>
    <w:rsid w:val="00404F63"/>
    <w:pPr>
      <w:tabs>
        <w:tab w:val="left" w:pos="510"/>
      </w:tabs>
      <w:spacing w:after="160"/>
    </w:pPr>
    <w:rPr>
      <w:b/>
      <w:sz w:val="24"/>
    </w:rPr>
  </w:style>
  <w:style w:type="paragraph" w:customStyle="1" w:styleId="A11">
    <w:name w:val="A.1.1"/>
    <w:basedOn w:val="Normal"/>
    <w:next w:val="Normal"/>
    <w:qFormat/>
    <w:rsid w:val="00404F63"/>
    <w:pPr>
      <w:tabs>
        <w:tab w:val="left" w:pos="567"/>
      </w:tabs>
      <w:spacing w:before="360" w:after="160"/>
    </w:pPr>
    <w:rPr>
      <w:b/>
    </w:rPr>
  </w:style>
  <w:style w:type="paragraph" w:customStyle="1" w:styleId="A111">
    <w:name w:val="A.1.1.1"/>
    <w:basedOn w:val="Normal"/>
    <w:next w:val="Normal"/>
    <w:qFormat/>
    <w:rsid w:val="00404F63"/>
    <w:pPr>
      <w:tabs>
        <w:tab w:val="left" w:pos="851"/>
      </w:tabs>
      <w:spacing w:after="160"/>
    </w:pPr>
    <w:rPr>
      <w:b/>
    </w:rPr>
  </w:style>
  <w:style w:type="paragraph" w:customStyle="1" w:styleId="ZA1">
    <w:name w:val="ZA.1"/>
    <w:basedOn w:val="A1"/>
    <w:next w:val="Normal"/>
    <w:qFormat/>
    <w:rsid w:val="00404F63"/>
    <w:pPr>
      <w:tabs>
        <w:tab w:val="clear" w:pos="510"/>
        <w:tab w:val="left" w:pos="624"/>
      </w:tabs>
    </w:pPr>
  </w:style>
  <w:style w:type="paragraph" w:customStyle="1" w:styleId="ZA11">
    <w:name w:val="ZA.1.1"/>
    <w:basedOn w:val="A11"/>
    <w:next w:val="Normal"/>
    <w:qFormat/>
    <w:rsid w:val="00404F63"/>
    <w:pPr>
      <w:tabs>
        <w:tab w:val="left" w:pos="765"/>
      </w:tabs>
    </w:pPr>
  </w:style>
  <w:style w:type="paragraph" w:customStyle="1" w:styleId="ZA111">
    <w:name w:val="ZA.1.1.1"/>
    <w:basedOn w:val="A111"/>
    <w:next w:val="Normal"/>
    <w:qFormat/>
    <w:rsid w:val="00404F63"/>
    <w:pPr>
      <w:tabs>
        <w:tab w:val="clear" w:pos="851"/>
        <w:tab w:val="left" w:pos="964"/>
      </w:tabs>
    </w:pPr>
  </w:style>
  <w:style w:type="paragraph" w:customStyle="1" w:styleId="EJEMPLO">
    <w:name w:val="EJEMPLO"/>
    <w:basedOn w:val="Normal"/>
    <w:next w:val="Normal"/>
    <w:qFormat/>
    <w:rsid w:val="00404F63"/>
    <w:pPr>
      <w:tabs>
        <w:tab w:val="left" w:pos="992"/>
      </w:tabs>
      <w:ind w:left="992" w:hanging="992"/>
    </w:pPr>
    <w:rPr>
      <w:sz w:val="18"/>
      <w:szCs w:val="16"/>
    </w:rPr>
  </w:style>
  <w:style w:type="paragraph" w:customStyle="1" w:styleId="NOTA">
    <w:name w:val="NOTA"/>
    <w:basedOn w:val="Normal"/>
    <w:next w:val="Normal"/>
    <w:qFormat/>
    <w:rsid w:val="00404F63"/>
    <w:pPr>
      <w:tabs>
        <w:tab w:val="left" w:pos="567"/>
      </w:tabs>
      <w:ind w:left="567" w:hanging="567"/>
    </w:pPr>
    <w:rPr>
      <w:sz w:val="16"/>
    </w:rPr>
  </w:style>
  <w:style w:type="paragraph" w:customStyle="1" w:styleId="NOTAX">
    <w:name w:val="NOTA X"/>
    <w:basedOn w:val="Normal"/>
    <w:next w:val="Normal"/>
    <w:qFormat/>
    <w:rsid w:val="00404F63"/>
    <w:pPr>
      <w:tabs>
        <w:tab w:val="left" w:pos="709"/>
      </w:tabs>
      <w:ind w:left="709" w:hanging="709"/>
    </w:pPr>
    <w:rPr>
      <w:sz w:val="16"/>
    </w:rPr>
  </w:style>
  <w:style w:type="paragraph" w:customStyle="1" w:styleId="Tablatit">
    <w:name w:val="Tabla(tit)"/>
    <w:basedOn w:val="Normal"/>
    <w:next w:val="Normal"/>
    <w:qFormat/>
    <w:rsid w:val="00404F63"/>
    <w:pPr>
      <w:spacing w:after="160"/>
      <w:jc w:val="center"/>
    </w:pPr>
    <w:rPr>
      <w:b/>
    </w:rPr>
  </w:style>
  <w:style w:type="paragraph" w:customStyle="1" w:styleId="Figtit">
    <w:name w:val="Fig(tit)"/>
    <w:basedOn w:val="Normal"/>
    <w:next w:val="Normal"/>
    <w:qFormat/>
    <w:rsid w:val="00404F63"/>
    <w:pPr>
      <w:spacing w:before="160"/>
      <w:jc w:val="center"/>
    </w:pPr>
    <w:rPr>
      <w:b/>
    </w:rPr>
  </w:style>
  <w:style w:type="paragraph" w:customStyle="1" w:styleId="A1st">
    <w:name w:val="A.1 st"/>
    <w:basedOn w:val="Normal"/>
    <w:next w:val="Normal"/>
    <w:qFormat/>
    <w:rsid w:val="00404F63"/>
    <w:pPr>
      <w:tabs>
        <w:tab w:val="left" w:pos="510"/>
      </w:tabs>
    </w:pPr>
  </w:style>
  <w:style w:type="paragraph" w:customStyle="1" w:styleId="A11st">
    <w:name w:val="A.1.1 st"/>
    <w:basedOn w:val="Normal"/>
    <w:next w:val="Normal"/>
    <w:qFormat/>
    <w:rsid w:val="00404F63"/>
    <w:pPr>
      <w:tabs>
        <w:tab w:val="left" w:pos="567"/>
      </w:tabs>
      <w:spacing w:before="360"/>
    </w:pPr>
  </w:style>
  <w:style w:type="paragraph" w:customStyle="1" w:styleId="A111st">
    <w:name w:val="A.1.1.1 st"/>
    <w:basedOn w:val="Normal"/>
    <w:next w:val="Normal"/>
    <w:qFormat/>
    <w:rsid w:val="00404F63"/>
    <w:pPr>
      <w:tabs>
        <w:tab w:val="left" w:pos="851"/>
      </w:tabs>
    </w:pPr>
  </w:style>
  <w:style w:type="paragraph" w:customStyle="1" w:styleId="A1111">
    <w:name w:val="A.1.1.1.1"/>
    <w:basedOn w:val="Normal"/>
    <w:next w:val="Normal"/>
    <w:qFormat/>
    <w:rsid w:val="00404F63"/>
    <w:pPr>
      <w:tabs>
        <w:tab w:val="left" w:pos="992"/>
      </w:tabs>
      <w:spacing w:after="160"/>
    </w:pPr>
    <w:rPr>
      <w:b/>
    </w:rPr>
  </w:style>
  <w:style w:type="paragraph" w:customStyle="1" w:styleId="A1111st">
    <w:name w:val="A.1.1.1.1 st"/>
    <w:basedOn w:val="Normal"/>
    <w:next w:val="Normal"/>
    <w:qFormat/>
    <w:rsid w:val="00404F63"/>
    <w:pPr>
      <w:tabs>
        <w:tab w:val="left" w:pos="992"/>
      </w:tabs>
    </w:pPr>
  </w:style>
  <w:style w:type="paragraph" w:customStyle="1" w:styleId="Def2tit">
    <w:name w:val="Def 2(tit)"/>
    <w:basedOn w:val="Normal"/>
    <w:next w:val="Normal"/>
    <w:qFormat/>
    <w:rsid w:val="00404F63"/>
    <w:pPr>
      <w:tabs>
        <w:tab w:val="left" w:pos="426"/>
      </w:tabs>
      <w:spacing w:before="300"/>
    </w:pPr>
    <w:rPr>
      <w:b/>
    </w:rPr>
  </w:style>
  <w:style w:type="paragraph" w:customStyle="1" w:styleId="Def3tit">
    <w:name w:val="Def 3(tit)"/>
    <w:basedOn w:val="Normal"/>
    <w:next w:val="Normal"/>
    <w:qFormat/>
    <w:rsid w:val="00404F63"/>
    <w:pPr>
      <w:tabs>
        <w:tab w:val="left" w:pos="567"/>
      </w:tabs>
      <w:spacing w:before="300"/>
    </w:pPr>
    <w:rPr>
      <w:b/>
    </w:rPr>
  </w:style>
  <w:style w:type="paragraph" w:customStyle="1" w:styleId="Figley">
    <w:name w:val="Fig(ley)"/>
    <w:basedOn w:val="Normal"/>
    <w:next w:val="Normal"/>
    <w:qFormat/>
    <w:rsid w:val="00404F63"/>
    <w:rPr>
      <w:sz w:val="16"/>
    </w:rPr>
  </w:style>
  <w:style w:type="paragraph" w:customStyle="1" w:styleId="Ttulo2sst">
    <w:name w:val="Título 2s (st)"/>
    <w:basedOn w:val="Normal"/>
    <w:next w:val="Normal"/>
    <w:qFormat/>
    <w:rsid w:val="00404F63"/>
    <w:pPr>
      <w:tabs>
        <w:tab w:val="left" w:pos="510"/>
      </w:tabs>
      <w:spacing w:before="360"/>
    </w:pPr>
  </w:style>
  <w:style w:type="paragraph" w:customStyle="1" w:styleId="Ttulo3sst">
    <w:name w:val="Título 3s (st)"/>
    <w:basedOn w:val="Normal"/>
    <w:next w:val="Normal"/>
    <w:qFormat/>
    <w:rsid w:val="00404F63"/>
    <w:pPr>
      <w:tabs>
        <w:tab w:val="left" w:pos="652"/>
      </w:tabs>
    </w:pPr>
  </w:style>
  <w:style w:type="paragraph" w:customStyle="1" w:styleId="Ttulo4sst">
    <w:name w:val="Título 4s (st)"/>
    <w:basedOn w:val="Normal"/>
    <w:next w:val="Normal"/>
    <w:qFormat/>
    <w:rsid w:val="00404F63"/>
    <w:pPr>
      <w:tabs>
        <w:tab w:val="left" w:pos="851"/>
      </w:tabs>
    </w:pPr>
  </w:style>
  <w:style w:type="paragraph" w:customStyle="1" w:styleId="Ttulo5sst">
    <w:name w:val="Título 5s (st)"/>
    <w:basedOn w:val="Normal"/>
    <w:next w:val="Normal"/>
    <w:qFormat/>
    <w:rsid w:val="00404F63"/>
    <w:pPr>
      <w:tabs>
        <w:tab w:val="left" w:pos="992"/>
      </w:tabs>
    </w:pPr>
  </w:style>
  <w:style w:type="paragraph" w:customStyle="1" w:styleId="Indicetit">
    <w:name w:val="Indice(tit)"/>
    <w:basedOn w:val="Normal"/>
    <w:next w:val="Normal"/>
    <w:qFormat/>
    <w:rsid w:val="00404F63"/>
    <w:pPr>
      <w:spacing w:after="480"/>
      <w:jc w:val="center"/>
    </w:pPr>
    <w:rPr>
      <w:b/>
      <w:bCs/>
      <w:sz w:val="28"/>
    </w:rPr>
  </w:style>
  <w:style w:type="paragraph" w:customStyle="1" w:styleId="ZA1st">
    <w:name w:val="ZA.1 st"/>
    <w:basedOn w:val="A1st"/>
    <w:next w:val="Normal"/>
    <w:qFormat/>
    <w:rsid w:val="00404F63"/>
    <w:pPr>
      <w:tabs>
        <w:tab w:val="clear" w:pos="510"/>
        <w:tab w:val="left" w:pos="624"/>
      </w:tabs>
    </w:pPr>
  </w:style>
  <w:style w:type="paragraph" w:customStyle="1" w:styleId="ZA11st">
    <w:name w:val="ZA.1.1 st"/>
    <w:basedOn w:val="A11st"/>
    <w:next w:val="Normal"/>
    <w:qFormat/>
    <w:rsid w:val="00404F63"/>
    <w:pPr>
      <w:tabs>
        <w:tab w:val="left" w:pos="765"/>
      </w:tabs>
    </w:pPr>
  </w:style>
  <w:style w:type="paragraph" w:customStyle="1" w:styleId="ZA111st">
    <w:name w:val="ZA.1.1.1 st"/>
    <w:basedOn w:val="A111st"/>
    <w:next w:val="Normal"/>
    <w:qFormat/>
    <w:rsid w:val="00404F63"/>
    <w:pPr>
      <w:tabs>
        <w:tab w:val="clear" w:pos="851"/>
        <w:tab w:val="left" w:pos="964"/>
      </w:tabs>
    </w:pPr>
  </w:style>
  <w:style w:type="paragraph" w:customStyle="1" w:styleId="ZA1111">
    <w:name w:val="ZA.1.1.1.1"/>
    <w:basedOn w:val="A1111"/>
    <w:next w:val="Normal"/>
    <w:qFormat/>
    <w:rsid w:val="00404F63"/>
    <w:pPr>
      <w:tabs>
        <w:tab w:val="clear" w:pos="992"/>
        <w:tab w:val="left" w:pos="1106"/>
      </w:tabs>
    </w:pPr>
  </w:style>
  <w:style w:type="paragraph" w:customStyle="1" w:styleId="ZA1111st">
    <w:name w:val="ZA.1.1.1.1 st"/>
    <w:basedOn w:val="A1111st"/>
    <w:next w:val="Normal"/>
    <w:qFormat/>
    <w:rsid w:val="00404F63"/>
    <w:pPr>
      <w:tabs>
        <w:tab w:val="clear" w:pos="992"/>
        <w:tab w:val="left" w:pos="1106"/>
      </w:tabs>
    </w:pPr>
  </w:style>
  <w:style w:type="paragraph" w:customStyle="1" w:styleId="Notapietxt">
    <w:name w:val="Notapie(txt)"/>
    <w:basedOn w:val="Normal"/>
    <w:next w:val="Normal"/>
    <w:qFormat/>
    <w:rsid w:val="00404F63"/>
    <w:pPr>
      <w:tabs>
        <w:tab w:val="left" w:pos="284"/>
      </w:tabs>
      <w:ind w:left="284" w:hanging="284"/>
    </w:pPr>
    <w:rPr>
      <w:sz w:val="16"/>
    </w:rPr>
  </w:style>
  <w:style w:type="paragraph" w:customStyle="1" w:styleId="Bibliotxt">
    <w:name w:val="Biblio(txt)"/>
    <w:basedOn w:val="Normal"/>
    <w:next w:val="Normal"/>
    <w:qFormat/>
    <w:rsid w:val="00404F63"/>
    <w:pPr>
      <w:tabs>
        <w:tab w:val="left" w:pos="567"/>
      </w:tabs>
      <w:ind w:left="567" w:hanging="567"/>
    </w:pPr>
  </w:style>
  <w:style w:type="paragraph" w:customStyle="1" w:styleId="Ttulo1s">
    <w:name w:val="Título 1s"/>
    <w:basedOn w:val="Ttulo1"/>
    <w:next w:val="Normal"/>
    <w:qFormat/>
    <w:rsid w:val="00404F63"/>
    <w:pPr>
      <w:keepNext w:val="0"/>
      <w:tabs>
        <w:tab w:val="left" w:pos="397"/>
      </w:tabs>
      <w:spacing w:before="0" w:after="160"/>
      <w:ind w:left="397" w:hanging="397"/>
    </w:pPr>
    <w:rPr>
      <w:rFonts w:ascii="Times New Roman" w:hAnsi="Times New Roman"/>
      <w:bCs/>
      <w:kern w:val="0"/>
      <w:sz w:val="24"/>
      <w:szCs w:val="28"/>
    </w:rPr>
  </w:style>
  <w:style w:type="paragraph" w:customStyle="1" w:styleId="Ttulo2s">
    <w:name w:val="Título 2s"/>
    <w:basedOn w:val="Ttulo2"/>
    <w:next w:val="Normal"/>
    <w:qFormat/>
    <w:rsid w:val="00404F63"/>
    <w:pPr>
      <w:keepNext w:val="0"/>
      <w:tabs>
        <w:tab w:val="left" w:pos="510"/>
      </w:tabs>
      <w:spacing w:before="360" w:after="160"/>
    </w:pPr>
    <w:rPr>
      <w:bCs/>
      <w:szCs w:val="26"/>
    </w:rPr>
  </w:style>
  <w:style w:type="paragraph" w:customStyle="1" w:styleId="Ttulo3s">
    <w:name w:val="Título 3s"/>
    <w:basedOn w:val="Ttulo3"/>
    <w:next w:val="Normal"/>
    <w:qFormat/>
    <w:rsid w:val="00404F63"/>
    <w:pPr>
      <w:keepNext w:val="0"/>
      <w:tabs>
        <w:tab w:val="left" w:pos="652"/>
      </w:tabs>
      <w:spacing w:after="160"/>
      <w:jc w:val="both"/>
    </w:pPr>
    <w:rPr>
      <w:bCs/>
    </w:rPr>
  </w:style>
  <w:style w:type="paragraph" w:customStyle="1" w:styleId="Deftxt">
    <w:name w:val="Def(txt)"/>
    <w:basedOn w:val="Normal"/>
    <w:next w:val="Normal"/>
    <w:qFormat/>
    <w:rsid w:val="00404F63"/>
  </w:style>
  <w:style w:type="paragraph" w:customStyle="1" w:styleId="Ttulo4s">
    <w:name w:val="Título 4s"/>
    <w:basedOn w:val="Ttulo4"/>
    <w:next w:val="Normal"/>
    <w:qFormat/>
    <w:rsid w:val="00404F63"/>
    <w:pPr>
      <w:keepNext w:val="0"/>
      <w:tabs>
        <w:tab w:val="left" w:pos="851"/>
      </w:tabs>
      <w:spacing w:after="160"/>
    </w:pPr>
    <w:rPr>
      <w:bCs/>
      <w:iCs/>
      <w:sz w:val="20"/>
    </w:rPr>
  </w:style>
  <w:style w:type="paragraph" w:customStyle="1" w:styleId="Ttulo5s">
    <w:name w:val="Título 5s"/>
    <w:basedOn w:val="Ttulo5"/>
    <w:next w:val="Normal"/>
    <w:qFormat/>
    <w:rsid w:val="00404F63"/>
    <w:pPr>
      <w:keepNext w:val="0"/>
      <w:keepLines w:val="0"/>
      <w:tabs>
        <w:tab w:val="left" w:pos="992"/>
      </w:tabs>
      <w:spacing w:before="0" w:after="160"/>
    </w:pPr>
    <w:rPr>
      <w:rFonts w:ascii="Times New Roman" w:hAnsi="Times New Roman"/>
      <w:b/>
      <w:color w:val="auto"/>
    </w:rPr>
  </w:style>
  <w:style w:type="paragraph" w:customStyle="1" w:styleId="PrlgENtit">
    <w:name w:val="Prlg EN(tit)"/>
    <w:basedOn w:val="Normal"/>
    <w:next w:val="Normal"/>
    <w:qFormat/>
    <w:rsid w:val="00404F63"/>
    <w:pPr>
      <w:spacing w:after="480"/>
      <w:jc w:val="center"/>
    </w:pPr>
    <w:rPr>
      <w:b/>
      <w:sz w:val="28"/>
      <w:szCs w:val="28"/>
    </w:rPr>
  </w:style>
  <w:style w:type="paragraph" w:customStyle="1" w:styleId="PrlgINTtit">
    <w:name w:val="Prlg INT(tit)"/>
    <w:basedOn w:val="PrlgENtit"/>
    <w:next w:val="Normal"/>
    <w:qFormat/>
    <w:rsid w:val="00404F63"/>
  </w:style>
  <w:style w:type="paragraph" w:customStyle="1" w:styleId="Prlgdecltit">
    <w:name w:val="Prlg decl(tit)"/>
    <w:basedOn w:val="PrlgENtit"/>
    <w:next w:val="Normal"/>
    <w:qFormat/>
    <w:rsid w:val="00404F63"/>
    <w:pPr>
      <w:spacing w:before="960"/>
    </w:pPr>
  </w:style>
  <w:style w:type="paragraph" w:customStyle="1" w:styleId="Bibliotit">
    <w:name w:val="Biblio(tit)"/>
    <w:basedOn w:val="Indicetit"/>
    <w:next w:val="Normal"/>
    <w:qFormat/>
    <w:rsid w:val="00404F63"/>
  </w:style>
  <w:style w:type="paragraph" w:customStyle="1" w:styleId="React2">
    <w:name w:val="React 2"/>
    <w:basedOn w:val="Ttulo2s"/>
    <w:next w:val="Normal"/>
    <w:qFormat/>
    <w:rsid w:val="00404F63"/>
    <w:pPr>
      <w:spacing w:before="300" w:after="0"/>
    </w:pPr>
    <w:rPr>
      <w:b w:val="0"/>
      <w:sz w:val="20"/>
    </w:rPr>
  </w:style>
  <w:style w:type="paragraph" w:customStyle="1" w:styleId="React3">
    <w:name w:val="React 3"/>
    <w:basedOn w:val="Ttulo3s"/>
    <w:next w:val="Normal"/>
    <w:qFormat/>
    <w:rsid w:val="00404F63"/>
    <w:pPr>
      <w:spacing w:after="0"/>
    </w:pPr>
    <w:rPr>
      <w:b w:val="0"/>
    </w:rPr>
  </w:style>
  <w:style w:type="paragraph" w:customStyle="1" w:styleId="Llamadatxt">
    <w:name w:val="Llamada(txt)"/>
    <w:basedOn w:val="Notapietxt"/>
    <w:next w:val="Normal"/>
    <w:qFormat/>
    <w:rsid w:val="00404F63"/>
    <w:pPr>
      <w:tabs>
        <w:tab w:val="clear" w:pos="284"/>
        <w:tab w:val="left" w:pos="198"/>
      </w:tabs>
      <w:ind w:left="198" w:hanging="198"/>
    </w:pPr>
    <w:rPr>
      <w:szCs w:val="18"/>
    </w:rPr>
  </w:style>
  <w:style w:type="paragraph" w:customStyle="1" w:styleId="Medidas">
    <w:name w:val="Medidas"/>
    <w:basedOn w:val="Normal"/>
    <w:next w:val="Normal"/>
    <w:qFormat/>
    <w:rsid w:val="00404F63"/>
    <w:pPr>
      <w:spacing w:after="200"/>
    </w:pPr>
    <w:rPr>
      <w:sz w:val="16"/>
      <w:szCs w:val="16"/>
    </w:rPr>
  </w:style>
  <w:style w:type="paragraph" w:customStyle="1" w:styleId="Introductit">
    <w:name w:val="Introduc(tit)"/>
    <w:basedOn w:val="PrlgENtit"/>
    <w:next w:val="Normal"/>
    <w:qFormat/>
    <w:rsid w:val="00404F63"/>
  </w:style>
  <w:style w:type="paragraph" w:customStyle="1" w:styleId="Aviso">
    <w:name w:val="Aviso"/>
    <w:basedOn w:val="Normal"/>
    <w:next w:val="Normal"/>
    <w:qFormat/>
    <w:rsid w:val="00404F63"/>
    <w:rPr>
      <w:b/>
    </w:rPr>
  </w:style>
  <w:style w:type="paragraph" w:customStyle="1" w:styleId="Parfnonum">
    <w:name w:val="Parfnonum"/>
    <w:basedOn w:val="Normal"/>
    <w:qFormat/>
    <w:rsid w:val="00404F63"/>
  </w:style>
  <w:style w:type="paragraph" w:customStyle="1" w:styleId="Ttulo1selectrico">
    <w:name w:val="Título 1s (electrico)"/>
    <w:basedOn w:val="Ttulo1s"/>
    <w:next w:val="Normal"/>
    <w:qFormat/>
    <w:rsid w:val="00404F63"/>
  </w:style>
  <w:style w:type="paragraph" w:customStyle="1" w:styleId="Ttulo2selectrico">
    <w:name w:val="Título 2s (electrico)"/>
    <w:basedOn w:val="Ttulo2s"/>
    <w:next w:val="Normal"/>
    <w:qFormat/>
    <w:rsid w:val="00404F63"/>
  </w:style>
  <w:style w:type="paragraph" w:customStyle="1" w:styleId="Ttulo2sstelectrico">
    <w:name w:val="Título 2s (st) (electrico)"/>
    <w:basedOn w:val="Ttulo2sst"/>
    <w:next w:val="Normal"/>
    <w:qFormat/>
    <w:rsid w:val="00404F63"/>
  </w:style>
  <w:style w:type="paragraph" w:customStyle="1" w:styleId="Ttulo3selectrico">
    <w:name w:val="Título 3s (electrico)"/>
    <w:basedOn w:val="Ttulo3s"/>
    <w:next w:val="Normal"/>
    <w:qFormat/>
    <w:rsid w:val="00404F63"/>
  </w:style>
  <w:style w:type="paragraph" w:customStyle="1" w:styleId="Ttulo3sstelectrico">
    <w:name w:val="Título 3s (st) (electrico)"/>
    <w:basedOn w:val="Ttulo3sst"/>
    <w:qFormat/>
    <w:rsid w:val="00404F63"/>
  </w:style>
  <w:style w:type="paragraph" w:customStyle="1" w:styleId="Ttulo4selectrico">
    <w:name w:val="Título 4s (electrico)"/>
    <w:basedOn w:val="Ttulo4s"/>
    <w:qFormat/>
    <w:rsid w:val="00404F63"/>
  </w:style>
  <w:style w:type="paragraph" w:customStyle="1" w:styleId="Ttulo4sstelectrico">
    <w:name w:val="Título 4s (st) (electrico)"/>
    <w:basedOn w:val="Ttulo4sst"/>
    <w:next w:val="Normal"/>
    <w:qFormat/>
    <w:rsid w:val="00404F63"/>
  </w:style>
  <w:style w:type="paragraph" w:customStyle="1" w:styleId="Ttulo5selectrico">
    <w:name w:val="Título 5s (electrico)"/>
    <w:basedOn w:val="Ttulo5s"/>
    <w:next w:val="Normal"/>
    <w:qFormat/>
    <w:rsid w:val="00404F63"/>
  </w:style>
  <w:style w:type="paragraph" w:customStyle="1" w:styleId="Ttulo5sstelectrico">
    <w:name w:val="Título 5s (st) (electrico)"/>
    <w:basedOn w:val="Ttulo5sst"/>
    <w:qFormat/>
    <w:rsid w:val="00404F63"/>
  </w:style>
  <w:style w:type="paragraph" w:styleId="Textoindependiente">
    <w:name w:val="Body Text"/>
    <w:basedOn w:val="Normal"/>
    <w:link w:val="TextoindependienteCar"/>
    <w:rsid w:val="00923E6E"/>
    <w:pPr>
      <w:widowControl/>
    </w:pPr>
  </w:style>
  <w:style w:type="character" w:customStyle="1" w:styleId="TextoindependienteCar">
    <w:name w:val="Texto independiente Car"/>
    <w:link w:val="Textoindependiente"/>
    <w:rsid w:val="00923E6E"/>
    <w:rPr>
      <w:lang w:val="es-ES_tradnl" w:eastAsia="es-ES"/>
    </w:rPr>
  </w:style>
  <w:style w:type="paragraph" w:customStyle="1" w:styleId="CENcover">
    <w:name w:val="CENcover"/>
    <w:rsid w:val="007E485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Textoindependiente2">
    <w:name w:val="Body Text 2"/>
    <w:basedOn w:val="Normal"/>
    <w:link w:val="Textoindependiente2Car"/>
    <w:rsid w:val="00D6490F"/>
    <w:rPr>
      <w:color w:val="FF0000"/>
    </w:rPr>
  </w:style>
  <w:style w:type="character" w:customStyle="1" w:styleId="Textoindependiente2Car">
    <w:name w:val="Texto independiente 2 Car"/>
    <w:link w:val="Textoindependiente2"/>
    <w:rsid w:val="00D6490F"/>
    <w:rPr>
      <w:color w:val="FF0000"/>
      <w:lang w:val="es-ES_tradnl" w:eastAsia="es-ES"/>
    </w:rPr>
  </w:style>
  <w:style w:type="paragraph" w:customStyle="1" w:styleId="CLCTPTitle2">
    <w:name w:val="CLCTPTitle2"/>
    <w:basedOn w:val="Normal"/>
    <w:rsid w:val="004A7C4D"/>
    <w:pPr>
      <w:jc w:val="left"/>
    </w:pPr>
    <w:rPr>
      <w:rFonts w:ascii="Arial" w:hAnsi="Arial"/>
      <w:sz w:val="24"/>
      <w:lang w:val="en-GB" w:eastAsia="en-GB"/>
    </w:rPr>
  </w:style>
  <w:style w:type="paragraph" w:customStyle="1" w:styleId="CLCTPTitle1">
    <w:name w:val="CLCTPTitle1"/>
    <w:basedOn w:val="Normal"/>
    <w:rsid w:val="004A7C4D"/>
    <w:pPr>
      <w:jc w:val="center"/>
    </w:pPr>
    <w:rPr>
      <w:rFonts w:ascii="Arial" w:hAnsi="Arial"/>
      <w:sz w:val="28"/>
      <w:lang w:val="en-GB" w:eastAsia="en-GB"/>
    </w:rPr>
  </w:style>
  <w:style w:type="paragraph" w:customStyle="1" w:styleId="Tabla">
    <w:name w:val="Tabla"/>
    <w:basedOn w:val="Normal"/>
    <w:rsid w:val="004A7C4D"/>
    <w:pPr>
      <w:jc w:val="center"/>
    </w:pPr>
    <w:rPr>
      <w:b/>
    </w:rPr>
  </w:style>
  <w:style w:type="paragraph" w:customStyle="1" w:styleId="Figura">
    <w:name w:val="Figura"/>
    <w:basedOn w:val="Tabla"/>
    <w:rsid w:val="004A7C4D"/>
  </w:style>
  <w:style w:type="paragraph" w:customStyle="1" w:styleId="TITULOCENTRO">
    <w:name w:val="TITULO CENTRO"/>
    <w:basedOn w:val="Normal"/>
    <w:next w:val="Normal"/>
    <w:link w:val="TITULOCENTROCar"/>
    <w:rsid w:val="004A7C4D"/>
    <w:pPr>
      <w:jc w:val="center"/>
    </w:pPr>
    <w:rPr>
      <w:b/>
      <w:bCs/>
      <w:caps/>
    </w:rPr>
  </w:style>
  <w:style w:type="character" w:customStyle="1" w:styleId="TITULOCENTROCar">
    <w:name w:val="TITULO CENTRO Car"/>
    <w:link w:val="TITULOCENTRO"/>
    <w:rsid w:val="004A7C4D"/>
    <w:rPr>
      <w:b/>
      <w:bCs/>
      <w:caps/>
      <w:lang w:val="es-ES_tradnl" w:eastAsia="es-ES"/>
    </w:rPr>
  </w:style>
  <w:style w:type="paragraph" w:customStyle="1" w:styleId="ndicesusana">
    <w:name w:val="Índice susana"/>
    <w:basedOn w:val="Normal"/>
    <w:next w:val="Normal"/>
    <w:rsid w:val="004A7C4D"/>
    <w:pPr>
      <w:tabs>
        <w:tab w:val="left" w:pos="1418"/>
        <w:tab w:val="right" w:leader="dot" w:pos="8930"/>
      </w:tabs>
      <w:ind w:left="567" w:right="567"/>
    </w:pPr>
    <w:rPr>
      <w:b/>
    </w:rPr>
  </w:style>
  <w:style w:type="paragraph" w:customStyle="1" w:styleId="Titulo1susana">
    <w:name w:val="Titulo 1 susana"/>
    <w:basedOn w:val="Ttulo1"/>
    <w:next w:val="Normal"/>
    <w:rsid w:val="004A7C4D"/>
    <w:pPr>
      <w:tabs>
        <w:tab w:val="left" w:pos="0"/>
        <w:tab w:val="left" w:pos="284"/>
      </w:tabs>
      <w:spacing w:before="0" w:after="142"/>
    </w:pPr>
    <w:rPr>
      <w:rFonts w:ascii="Times New Roman" w:hAnsi="Times New Roman"/>
      <w:caps/>
      <w:kern w:val="0"/>
      <w:sz w:val="20"/>
    </w:rPr>
  </w:style>
  <w:style w:type="paragraph" w:customStyle="1" w:styleId="Definiciones">
    <w:name w:val="Definiciones"/>
    <w:basedOn w:val="Normal"/>
    <w:rsid w:val="004A7C4D"/>
    <w:pPr>
      <w:widowControl/>
      <w:tabs>
        <w:tab w:val="left" w:pos="426"/>
      </w:tabs>
      <w:spacing w:before="300"/>
    </w:pPr>
    <w:rPr>
      <w:b/>
    </w:rPr>
  </w:style>
  <w:style w:type="paragraph" w:customStyle="1" w:styleId="Ecuacinformato">
    <w:name w:val="Ecuación (formato)"/>
    <w:basedOn w:val="Normal"/>
    <w:rsid w:val="004A7C4D"/>
    <w:pPr>
      <w:widowControl/>
      <w:tabs>
        <w:tab w:val="center" w:pos="4820"/>
        <w:tab w:val="right" w:pos="9639"/>
      </w:tabs>
    </w:pPr>
  </w:style>
  <w:style w:type="paragraph" w:customStyle="1" w:styleId="EJEMPLOX">
    <w:name w:val="EJEMPLO X"/>
    <w:basedOn w:val="Normal"/>
    <w:rsid w:val="004A7C4D"/>
    <w:pPr>
      <w:widowControl/>
      <w:tabs>
        <w:tab w:val="left" w:pos="992"/>
      </w:tabs>
      <w:ind w:left="992" w:hanging="992"/>
    </w:pPr>
    <w:rPr>
      <w:sz w:val="16"/>
      <w:szCs w:val="16"/>
    </w:rPr>
  </w:style>
  <w:style w:type="paragraph" w:customStyle="1" w:styleId="Titulo2susana">
    <w:name w:val="Titulo 2 susana"/>
    <w:basedOn w:val="Normal"/>
    <w:rsid w:val="004A7C4D"/>
    <w:pPr>
      <w:tabs>
        <w:tab w:val="left" w:pos="0"/>
        <w:tab w:val="left" w:pos="426"/>
      </w:tabs>
      <w:spacing w:before="357" w:after="142"/>
    </w:pPr>
    <w:rPr>
      <w:b/>
    </w:rPr>
  </w:style>
  <w:style w:type="paragraph" w:customStyle="1" w:styleId="Titulo3susana">
    <w:name w:val="Titulo 3 susana"/>
    <w:basedOn w:val="Normal"/>
    <w:rsid w:val="004A7C4D"/>
    <w:pPr>
      <w:tabs>
        <w:tab w:val="left" w:pos="567"/>
      </w:tabs>
      <w:spacing w:after="142"/>
    </w:pPr>
    <w:rPr>
      <w:b/>
    </w:rPr>
  </w:style>
  <w:style w:type="paragraph" w:customStyle="1" w:styleId="Titulo4susana">
    <w:name w:val="Titulo 4 susana"/>
    <w:basedOn w:val="Normal"/>
    <w:rsid w:val="004A7C4D"/>
    <w:pPr>
      <w:tabs>
        <w:tab w:val="left" w:pos="0"/>
        <w:tab w:val="left" w:pos="783"/>
      </w:tabs>
      <w:spacing w:after="142"/>
    </w:pPr>
    <w:rPr>
      <w:b/>
    </w:rPr>
  </w:style>
  <w:style w:type="paragraph" w:customStyle="1" w:styleId="NDICE">
    <w:name w:val="ÍNDICE"/>
    <w:basedOn w:val="Normal"/>
    <w:rsid w:val="004A7C4D"/>
    <w:pPr>
      <w:widowControl/>
      <w:jc w:val="center"/>
    </w:pPr>
    <w:rPr>
      <w:b/>
      <w:spacing w:val="-2"/>
    </w:rPr>
  </w:style>
  <w:style w:type="character" w:styleId="Refdenotaalpie">
    <w:name w:val="footnote reference"/>
    <w:rsid w:val="004A7C4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4A7C4D"/>
    <w:pPr>
      <w:widowControl/>
    </w:pPr>
    <w:rPr>
      <w:rFonts w:ascii="Arial" w:hAnsi="Arial"/>
      <w:lang w:val="es-ES"/>
    </w:rPr>
  </w:style>
  <w:style w:type="character" w:customStyle="1" w:styleId="TextonotapieCar">
    <w:name w:val="Texto nota pie Car"/>
    <w:link w:val="Textonotapie"/>
    <w:uiPriority w:val="99"/>
    <w:rsid w:val="004A7C4D"/>
    <w:rPr>
      <w:rFonts w:ascii="Arial" w:hAnsi="Arial"/>
      <w:lang w:eastAsia="es-ES"/>
    </w:rPr>
  </w:style>
  <w:style w:type="paragraph" w:styleId="Ttulo">
    <w:name w:val="Title"/>
    <w:basedOn w:val="Normal"/>
    <w:link w:val="TtuloCar"/>
    <w:rsid w:val="004A7C4D"/>
    <w:pPr>
      <w:widowControl/>
      <w:spacing w:before="240" w:after="60"/>
      <w:jc w:val="center"/>
      <w:outlineLvl w:val="0"/>
    </w:pPr>
    <w:rPr>
      <w:rFonts w:ascii="Arial" w:hAnsi="Arial"/>
      <w:b/>
      <w:kern w:val="28"/>
      <w:sz w:val="32"/>
      <w:lang w:val="es-ES"/>
    </w:rPr>
  </w:style>
  <w:style w:type="character" w:customStyle="1" w:styleId="TtuloCar">
    <w:name w:val="Título Car"/>
    <w:link w:val="Ttulo"/>
    <w:rsid w:val="004A7C4D"/>
    <w:rPr>
      <w:rFonts w:ascii="Arial" w:hAnsi="Arial"/>
      <w:b/>
      <w:kern w:val="28"/>
      <w:sz w:val="32"/>
      <w:lang w:eastAsia="es-ES"/>
    </w:rPr>
  </w:style>
  <w:style w:type="paragraph" w:styleId="ndice1">
    <w:name w:val="index 1"/>
    <w:basedOn w:val="Normal"/>
    <w:next w:val="Normal"/>
    <w:autoRedefine/>
    <w:rsid w:val="004A7C4D"/>
    <w:pPr>
      <w:ind w:left="200" w:hanging="200"/>
    </w:pPr>
    <w:rPr>
      <w:lang w:val="es-ES"/>
    </w:rPr>
  </w:style>
  <w:style w:type="paragraph" w:customStyle="1" w:styleId="Notadenorma">
    <w:name w:val="Nota de norma"/>
    <w:basedOn w:val="Normal"/>
    <w:next w:val="Normal"/>
    <w:rsid w:val="004A7C4D"/>
    <w:pPr>
      <w:widowControl/>
      <w:spacing w:before="80"/>
    </w:pPr>
    <w:rPr>
      <w:rFonts w:ascii="Arial" w:hAnsi="Arial"/>
      <w:sz w:val="16"/>
      <w:lang w:val="es-ES"/>
    </w:rPr>
  </w:style>
  <w:style w:type="character" w:styleId="Refdecomentario">
    <w:name w:val="annotation reference"/>
    <w:rsid w:val="004A7C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7C4D"/>
    <w:rPr>
      <w:lang w:val="es-ES"/>
    </w:rPr>
  </w:style>
  <w:style w:type="character" w:customStyle="1" w:styleId="TextocomentarioCar">
    <w:name w:val="Texto comentario Car"/>
    <w:link w:val="Textocomentario"/>
    <w:rsid w:val="004A7C4D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7C4D"/>
    <w:rPr>
      <w:b/>
      <w:bCs/>
    </w:rPr>
  </w:style>
  <w:style w:type="character" w:customStyle="1" w:styleId="AsuntodelcomentarioCar">
    <w:name w:val="Asunto del comentario Car"/>
    <w:link w:val="Asuntodelcomentario"/>
    <w:rsid w:val="004A7C4D"/>
    <w:rPr>
      <w:b/>
      <w:bCs/>
      <w:lang w:eastAsia="es-ES"/>
    </w:rPr>
  </w:style>
  <w:style w:type="character" w:styleId="Hipervnculo">
    <w:name w:val="Hyperlink"/>
    <w:uiPriority w:val="99"/>
    <w:rsid w:val="004A7C4D"/>
    <w:rPr>
      <w:color w:val="0000FF"/>
      <w:u w:val="single"/>
    </w:rPr>
  </w:style>
  <w:style w:type="paragraph" w:customStyle="1" w:styleId="Enumeracin">
    <w:name w:val="Enumeración"/>
    <w:basedOn w:val="Normal"/>
    <w:autoRedefine/>
    <w:rsid w:val="004A7C4D"/>
    <w:pPr>
      <w:widowControl/>
      <w:tabs>
        <w:tab w:val="left" w:pos="709"/>
      </w:tabs>
      <w:ind w:left="709" w:hanging="142"/>
    </w:pPr>
    <w:rPr>
      <w:rFonts w:ascii="Arial" w:hAnsi="Arial"/>
      <w:position w:val="6"/>
      <w:lang w:val="es-ES"/>
    </w:rPr>
  </w:style>
  <w:style w:type="paragraph" w:customStyle="1" w:styleId="Figytabla">
    <w:name w:val="Fig y tabla"/>
    <w:basedOn w:val="Normal"/>
    <w:rsid w:val="004A7C4D"/>
    <w:pPr>
      <w:jc w:val="center"/>
    </w:pPr>
    <w:rPr>
      <w:b/>
      <w:lang w:val="es-ES"/>
    </w:rPr>
  </w:style>
  <w:style w:type="table" w:styleId="Tablaconcuadrcula">
    <w:name w:val="Table Grid"/>
    <w:basedOn w:val="Tablanormal"/>
    <w:rsid w:val="004A7C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4A7C4D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A7C4D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4A7C4D"/>
    <w:pPr>
      <w:widowControl/>
      <w:jc w:val="left"/>
    </w:pPr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4A7C4D"/>
    <w:rPr>
      <w:rFonts w:ascii="Calibri" w:eastAsia="Calibri" w:hAnsi="Calibri" w:cs="Times New Roman"/>
      <w:sz w:val="22"/>
      <w:szCs w:val="21"/>
    </w:rPr>
  </w:style>
  <w:style w:type="paragraph" w:customStyle="1" w:styleId="tableau">
    <w:name w:val="tableau"/>
    <w:basedOn w:val="Normal"/>
    <w:rsid w:val="00EB1835"/>
    <w:pPr>
      <w:widowControl/>
      <w:spacing w:before="60" w:after="60"/>
      <w:jc w:val="center"/>
    </w:pPr>
    <w:rPr>
      <w:rFonts w:ascii="Arial" w:hAnsi="Arial"/>
      <w:noProof/>
      <w:spacing w:val="8"/>
      <w:sz w:val="16"/>
      <w:lang w:val="en-GB" w:eastAsia="en-US"/>
    </w:rPr>
  </w:style>
  <w:style w:type="paragraph" w:customStyle="1" w:styleId="TABLE-cell">
    <w:name w:val="TABLE-cell"/>
    <w:basedOn w:val="Normal"/>
    <w:rsid w:val="008C282B"/>
    <w:pPr>
      <w:widowControl/>
      <w:snapToGrid w:val="0"/>
      <w:spacing w:before="60" w:after="60"/>
      <w:jc w:val="left"/>
    </w:pPr>
    <w:rPr>
      <w:rFonts w:ascii="Arial" w:hAnsi="Arial" w:cs="Arial"/>
      <w:bCs/>
      <w:spacing w:val="8"/>
      <w:sz w:val="16"/>
      <w:lang w:val="en-GB" w:eastAsia="zh-CN"/>
    </w:rPr>
  </w:style>
  <w:style w:type="character" w:customStyle="1" w:styleId="SUPerscript-small">
    <w:name w:val="SUPerscript-small"/>
    <w:rsid w:val="0094133C"/>
    <w:rPr>
      <w:kern w:val="0"/>
      <w:position w:val="6"/>
      <w:sz w:val="12"/>
      <w:szCs w:val="16"/>
    </w:rPr>
  </w:style>
  <w:style w:type="character" w:customStyle="1" w:styleId="SUPerscript">
    <w:name w:val="SUPerscript"/>
    <w:rsid w:val="0094133C"/>
    <w:rPr>
      <w:kern w:val="0"/>
      <w:position w:val="6"/>
      <w:sz w:val="16"/>
      <w:szCs w:val="16"/>
    </w:rPr>
  </w:style>
  <w:style w:type="paragraph" w:customStyle="1" w:styleId="PARAGRAPH">
    <w:name w:val="PARAGRAPH"/>
    <w:link w:val="PARAGRAPHChar"/>
    <w:qFormat/>
    <w:rsid w:val="00121BE8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121BE8"/>
    <w:rPr>
      <w:rFonts w:ascii="Arial" w:hAnsi="Arial" w:cs="Arial"/>
      <w:spacing w:val="8"/>
      <w:lang w:val="en-GB" w:eastAsia="zh-CN"/>
    </w:rPr>
  </w:style>
  <w:style w:type="character" w:styleId="nfasis">
    <w:name w:val="Emphasis"/>
    <w:rsid w:val="00121BE8"/>
    <w:rPr>
      <w:rFonts w:cs="Arial"/>
      <w:b w:val="0"/>
      <w:i/>
      <w:iCs/>
      <w:spacing w:val="8"/>
      <w:lang w:val="en-GB" w:eastAsia="zh-CN" w:bidi="ar-SA"/>
    </w:rPr>
  </w:style>
  <w:style w:type="paragraph" w:styleId="TDC4">
    <w:name w:val="toc 4"/>
    <w:basedOn w:val="Normal"/>
    <w:next w:val="Normal"/>
    <w:autoRedefine/>
    <w:uiPriority w:val="39"/>
    <w:unhideWhenUsed/>
    <w:rsid w:val="009E6A49"/>
    <w:pPr>
      <w:widowControl/>
      <w:spacing w:after="100" w:line="276" w:lineRule="auto"/>
      <w:ind w:left="660"/>
      <w:jc w:val="left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9E6A49"/>
    <w:pPr>
      <w:widowControl/>
      <w:spacing w:after="100" w:line="276" w:lineRule="auto"/>
      <w:ind w:left="880"/>
      <w:jc w:val="left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9E6A49"/>
    <w:pPr>
      <w:widowControl/>
      <w:spacing w:after="100" w:line="276" w:lineRule="auto"/>
      <w:ind w:left="1100"/>
      <w:jc w:val="left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9E6A49"/>
    <w:pPr>
      <w:widowControl/>
      <w:spacing w:after="100" w:line="276" w:lineRule="auto"/>
      <w:ind w:left="1320"/>
      <w:jc w:val="left"/>
    </w:pPr>
    <w:rPr>
      <w:rFonts w:ascii="Calibri" w:hAnsi="Calibri"/>
      <w:sz w:val="22"/>
      <w:szCs w:val="22"/>
      <w:lang w:val="es-ES"/>
    </w:rPr>
  </w:style>
  <w:style w:type="paragraph" w:customStyle="1" w:styleId="8sinpos">
    <w:name w:val="8 sin pos"/>
    <w:basedOn w:val="Normal"/>
    <w:next w:val="Normal"/>
    <w:qFormat/>
    <w:rsid w:val="007D2F0C"/>
    <w:pPr>
      <w:tabs>
        <w:tab w:val="left" w:pos="4962"/>
        <w:tab w:val="right" w:pos="10773"/>
      </w:tabs>
    </w:pPr>
    <w:rPr>
      <w:sz w:val="16"/>
    </w:rPr>
  </w:style>
  <w:style w:type="paragraph" w:customStyle="1" w:styleId="TextoDesarrollo">
    <w:name w:val="Texto Desarrollo"/>
    <w:basedOn w:val="Normal"/>
    <w:rsid w:val="005324E0"/>
    <w:pPr>
      <w:widowControl/>
    </w:pPr>
    <w:rPr>
      <w:rFonts w:ascii="Arial" w:hAnsi="Arial"/>
      <w:sz w:val="22"/>
      <w:lang w:eastAsia="es-AR"/>
    </w:rPr>
  </w:style>
  <w:style w:type="paragraph" w:styleId="NormalWeb">
    <w:name w:val="Normal (Web)"/>
    <w:basedOn w:val="Normal"/>
    <w:uiPriority w:val="99"/>
    <w:unhideWhenUsed/>
    <w:rsid w:val="003137D6"/>
    <w:pPr>
      <w:widowControl/>
      <w:spacing w:before="100" w:beforeAutospacing="1" w:after="100" w:afterAutospacing="1"/>
      <w:jc w:val="left"/>
    </w:pPr>
    <w:rPr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B11753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1753"/>
    <w:pPr>
      <w:autoSpaceDE w:val="0"/>
      <w:autoSpaceDN w:val="0"/>
      <w:jc w:val="left"/>
    </w:pPr>
    <w:rPr>
      <w:sz w:val="22"/>
      <w:szCs w:val="22"/>
      <w:lang w:val="es-ES" w:bidi="es-ES"/>
    </w:rPr>
  </w:style>
  <w:style w:type="character" w:styleId="Nmerodepgina">
    <w:name w:val="page number"/>
    <w:rsid w:val="00CE0867"/>
  </w:style>
  <w:style w:type="numbering" w:customStyle="1" w:styleId="Sinlista1">
    <w:name w:val="Sin lista1"/>
    <w:next w:val="Sinlista"/>
    <w:uiPriority w:val="99"/>
    <w:semiHidden/>
    <w:unhideWhenUsed/>
    <w:rsid w:val="001C36AD"/>
  </w:style>
  <w:style w:type="table" w:customStyle="1" w:styleId="TableNormal1">
    <w:name w:val="Table Normal1"/>
    <w:uiPriority w:val="2"/>
    <w:semiHidden/>
    <w:unhideWhenUsed/>
    <w:qFormat/>
    <w:rsid w:val="001C36A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4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6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7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1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4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0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1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1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06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1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so.org/obp" TargetMode="External"/><Relationship Id="rId18" Type="http://schemas.openxmlformats.org/officeDocument/2006/relationships/image" Target="media/image4.w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604DDEA6944A47BDFFC2BC3F63F574" ma:contentTypeVersion="14" ma:contentTypeDescription="Crear nuevo documento." ma:contentTypeScope="" ma:versionID="7ca70cd00ee3a91ad718acac9c5a12cb">
  <xsd:schema xmlns:xsd="http://www.w3.org/2001/XMLSchema" xmlns:xs="http://www.w3.org/2001/XMLSchema" xmlns:p="http://schemas.microsoft.com/office/2006/metadata/properties" xmlns:ns2="93bd7204-c3f8-4e9f-9a25-45fafbfab28c" xmlns:ns3="d508e4fd-3309-414a-8ca7-f39ed3d09a13" targetNamespace="http://schemas.microsoft.com/office/2006/metadata/properties" ma:root="true" ma:fieldsID="6ba37d5bad182b6fb4a7dca974a48065" ns2:_="" ns3:_="">
    <xsd:import namespace="93bd7204-c3f8-4e9f-9a25-45fafbfab28c"/>
    <xsd:import namespace="d508e4fd-3309-414a-8ca7-f39ed3d09a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7204-c3f8-4e9f-9a25-45fafbfab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b894027-be30-4e15-9bfc-2bf1d911cc91}" ma:internalName="TaxCatchAll" ma:showField="CatchAllData" ma:web="93bd7204-c3f8-4e9f-9a25-45fafbfab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8e4fd-3309-414a-8ca7-f39ed3d09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084d462-8fc1-446a-88ad-76b12399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bd7204-c3f8-4e9f-9a25-45fafbfab28c"/>
    <lcf76f155ced4ddcb4097134ff3c332f xmlns="d508e4fd-3309-414a-8ca7-f39ed3d09a13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DC7C6-5B89-4880-ADF9-72881704D9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00BFBA-0663-4C86-9502-8EA99ABF1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7204-c3f8-4e9f-9a25-45fafbfab28c"/>
    <ds:schemaRef ds:uri="d508e4fd-3309-414a-8ca7-f39ed3d0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B2812-FA40-459A-B698-D7E1A1D429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E281B-DD99-4508-92E1-5F976666CCD3}">
  <ds:schemaRefs>
    <ds:schemaRef ds:uri="http://schemas.microsoft.com/office/2006/metadata/properties"/>
    <ds:schemaRef ds:uri="http://schemas.microsoft.com/office/infopath/2007/PartnerControls"/>
    <ds:schemaRef ds:uri="93bd7204-c3f8-4e9f-9a25-45fafbfab28c"/>
    <ds:schemaRef ds:uri="d508e4fd-3309-414a-8ca7-f39ed3d09a13"/>
  </ds:schemaRefs>
</ds:datastoreItem>
</file>

<file path=customXml/itemProps5.xml><?xml version="1.0" encoding="utf-8"?>
<ds:datastoreItem xmlns:ds="http://schemas.openxmlformats.org/officeDocument/2006/customXml" ds:itemID="{7B8333F7-C65E-4565-816B-24ADBF2B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2551</Words>
  <Characters>13116</Characters>
  <Application>Microsoft Office Word</Application>
  <DocSecurity>0</DocSecurity>
  <Lines>1639</Lines>
  <Paragraphs>979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Aenor</Company>
  <LinksUpToDate>false</LinksUpToDate>
  <CharactersWithSpaces>14688</CharactersWithSpaces>
  <SharedDoc>false</SharedDoc>
  <HLinks>
    <vt:vector size="12" baseType="variant">
      <vt:variant>
        <vt:i4>3801138</vt:i4>
      </vt:variant>
      <vt:variant>
        <vt:i4>3</vt:i4>
      </vt:variant>
      <vt:variant>
        <vt:i4>0</vt:i4>
      </vt:variant>
      <vt:variant>
        <vt:i4>5</vt:i4>
      </vt:variant>
      <vt:variant>
        <vt:lpwstr>http://www.iso.org/obp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Fernández-Ortega</dc:creator>
  <cp:keywords>, docId:C0464EC890B85545ADD5B892E8862FCE</cp:keywords>
  <cp:lastModifiedBy>Kory Eguino</cp:lastModifiedBy>
  <cp:revision>3</cp:revision>
  <cp:lastPrinted>2015-07-08T12:37:00Z</cp:lastPrinted>
  <dcterms:created xsi:type="dcterms:W3CDTF">2022-11-21T21:25:00Z</dcterms:created>
  <dcterms:modified xsi:type="dcterms:W3CDTF">2022-11-21T21:33:00Z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GrammarlyDocumentId">
    <vt:lpwstr>7cad1fbc01b09a981b08da36952eb620f20eecafe90d089ef5be6308db5472da</vt:lpwstr>
  </property>
</Properties>
</file>